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60" w:before="400"/>
      </w:pPr>
      <w:r>
        <w:rPr>
          <w:rFonts w:ascii="Arial" w:cs="Arial" w:eastAsia="Arial" w:hAnsi="Arial"/>
          <w:b/>
          <w:bCs/>
          <w:caps/>
          <w:color w:val="006B6B"/>
          <w:spacing w:val="80"/>
          <w:sz w:val="22"/>
          <w:szCs w:val="22"/>
        </w:rPr>
        <w:t xml:space="preserve">STUDIO LEGALE LIZZANI</w:t>
      </w:r>
    </w:p>
    <w:p>
      <w:pPr>
        <w:pBdr>
          <w:bottom w:val="single" w:color="006B6B" w:sz="8"/>
        </w:pBdr>
        <w:spacing w:after="0"/>
      </w:pPr>
    </w:p>
    <w:p>
      <w:pPr>
        <w:spacing w:after="0" w:before="400"/>
      </w:pPr>
    </w:p>
    <w:p>
      <w:pPr>
        <w:spacing w:after="80" w:before="0"/>
      </w:pPr>
      <w:r>
        <w:rPr>
          <w:rFonts w:ascii="Arial" w:cs="Arial" w:eastAsia="Arial" w:hAnsi="Arial"/>
          <w:b/>
          <w:bCs/>
          <w:color w:val="1A2E4A"/>
          <w:sz w:val="40"/>
          <w:szCs w:val="40"/>
        </w:rPr>
        <w:t xml:space="preserve">SCHEMA DEGLI STRUMENTI DI TUTELA</w:t>
      </w:r>
    </w:p>
    <w:p>
      <w:pPr>
        <w:spacing w:after="60" w:before="0"/>
      </w:pPr>
      <w:r>
        <w:rPr>
          <w:rFonts w:ascii="Arial" w:cs="Arial" w:eastAsia="Arial" w:hAnsi="Arial"/>
          <w:b w:val="false"/>
          <w:bCs w:val="false"/>
          <w:i/>
          <w:iCs/>
          <w:color w:val="006B6B"/>
          <w:sz w:val="30"/>
          <w:szCs w:val="30"/>
        </w:rPr>
        <w:t xml:space="preserve">Tutela della Persona, dell’Immagine e dei Dati Personali</w:t>
      </w:r>
    </w:p>
    <w:p>
      <w:pPr>
        <w:pBdr>
          <w:bottom w:val="single" w:color="1A2E4A" w:sz="8"/>
        </w:pBdr>
        <w:spacing w:after="0"/>
      </w:pPr>
    </w:p>
    <w:p>
      <w:pPr>
        <w:spacing w:after="0" w:before="200"/>
      </w:pPr>
    </w:p>
    <w:p>
      <w:pPr>
        <w:spacing w:after="0" w:before="0"/>
      </w:pPr>
      <w:r>
        <w:rPr>
          <w:rFonts w:ascii="Arial" w:cs="Arial" w:eastAsia="Arial" w:hAnsi="Arial"/>
          <w:color w:val="4A5568"/>
          <w:sz w:val="20"/>
          <w:szCs w:val="20"/>
        </w:rPr>
        <w:t xml:space="preserve">Diritti materiali e immateriali · Voci di danno · Sedi e riti · Matrice decisionale</w:t>
      </w:r>
    </w:p>
    <w:p>
      <w:pPr>
        <w:spacing w:after="0" w:before="600"/>
      </w:pPr>
    </w:p>
    <w:p>
      <w:pPr>
        <w:pStyle w:val="Heading1"/>
      </w:pPr>
      <w:r>
        <w:rPr>
          <w:rFonts w:ascii="Arial" w:cs="Arial" w:eastAsia="Arial" w:hAnsi="Arial"/>
          <w:b/>
          <w:bCs/>
          <w:color w:val="1A2E4A"/>
          <w:sz w:val="32"/>
          <w:szCs w:val="32"/>
        </w:rPr>
        <w:t xml:space="preserve">Premessa metodologica</w:t>
      </w:r>
    </w:p>
    <w:p>
      <w:pPr>
        <w:spacing w:after="140"/>
      </w:pPr>
      <w:r>
        <w:rPr>
          <w:rFonts w:ascii="Arial" w:cs="Arial" w:eastAsia="Arial" w:hAnsi="Arial"/>
          <w:color w:val="4A5568"/>
          <w:sz w:val="19"/>
          <w:szCs w:val="19"/>
        </w:rPr>
        <w:t xml:space="preserve">Il presente schema costituisce un template operativo di uso generale per la gestione di fattispecie in cui un soggetto subisce una violazione del diritto all’immagine, all’identità personale e/o ai dati personali ad opera di terzi — privati o enti pubblici — senza il consenso dell’interessato.</w:t>
      </w:r>
    </w:p>
    <w:p>
      <w:pPr>
        <w:spacing w:after="160"/>
      </w:pPr>
      <w:r>
        <w:rPr>
          <w:rFonts w:ascii="Arial" w:cs="Arial" w:eastAsia="Arial" w:hAnsi="Arial"/>
          <w:color w:val="4A5568"/>
          <w:sz w:val="19"/>
          <w:szCs w:val="19"/>
        </w:rPr>
        <w:t xml:space="preserve">Le diverse voci di danno coesistono e possono confluire in un’unica azione giudiziale ex art. 10 D.Lgs. 150/2011 (rito del lavoro), con cumulo oggettivo ex art. 104 c.p.c., ovvero essere azionate separatamente in sede ordinaria. Lo schema è suddiviso in nove strumenti principali, corredati da una matrice decisionale e da una checklist pregiudiziale.</w:t>
      </w:r>
    </w:p>
    <w:p>
      <w:pPr>
        <w:pStyle w:val="Heading1"/>
      </w:pPr>
      <w:r>
        <w:rPr>
          <w:rFonts w:ascii="Arial" w:cs="Arial" w:eastAsia="Arial" w:hAnsi="Arial"/>
          <w:b/>
          <w:bCs/>
          <w:color w:val="1A2E4A"/>
          <w:sz w:val="32"/>
          <w:szCs w:val="32"/>
        </w:rPr>
        <w:t xml:space="preserve">Quadro sinottico delle voci di danno e degli strumenti</w:t>
      </w:r>
    </w:p>
    <w:tbl>
      <w:tblPr>
        <w:tblW w:type="dxa" w:w="9260"/>
        <w:tblBorders>
          <w:top w:val="single" w:color="auto" w:sz="4"/>
          <w:left w:val="single" w:color="auto" w:sz="4"/>
          <w:bottom w:val="single" w:color="auto" w:sz="4"/>
          <w:right w:val="single" w:color="auto" w:sz="4"/>
          <w:insideH w:val="single" w:color="auto" w:sz="4"/>
          <w:insideV w:val="single" w:color="auto" w:sz="4"/>
        </w:tblBorders>
      </w:tblPr>
      <w:tblGrid>
        <w:gridCol w:w="500"/>
        <w:gridCol w:w="3200"/>
        <w:gridCol w:w="2960"/>
        <w:gridCol w:w="2600"/>
      </w:tblGrid>
      <w:tr>
        <w:tc>
          <w:tcPr>
            <w:tcW w:type="dxa" w:w="500"/>
            <w:tcBorders>
              <w:top w:val="none" w:color="FFFFFF" w:sz="0"/>
              <w:left w:val="none" w:color="FFFFFF" w:sz="0"/>
              <w:bottom w:val="none" w:color="FFFFFF" w:sz="0"/>
              <w:right w:val="none" w:color="FFFFFF" w:sz="0"/>
            </w:tcBorders>
            <w:shd w:fill="1A2E4A" w:val="clear"/>
            <w:tcMar>
              <w:top w:type="dxa" w:w="80"/>
              <w:left w:type="dxa" w:w="100"/>
              <w:bottom w:type="dxa" w:w="80"/>
              <w:right w:type="dxa" w:w="100"/>
            </w:tcMar>
          </w:tcPr>
          <w:p>
            <w:pPr>
              <w:spacing w:after="0" w:before="0"/>
            </w:pPr>
            <w:r>
              <w:rPr>
                <w:rFonts w:ascii="Arial" w:cs="Arial" w:eastAsia="Arial" w:hAnsi="Arial"/>
                <w:b/>
                <w:bCs/>
                <w:color w:val="FFFFFF"/>
                <w:sz w:val="18"/>
                <w:szCs w:val="18"/>
              </w:rPr>
              <w:t xml:space="preserve">#</w:t>
            </w:r>
          </w:p>
        </w:tc>
        <w:tc>
          <w:tcPr>
            <w:tcW w:type="dxa" w:w="3200"/>
            <w:tcBorders>
              <w:top w:val="none" w:color="FFFFFF" w:sz="0"/>
              <w:left w:val="none" w:color="FFFFFF" w:sz="0"/>
              <w:bottom w:val="none" w:color="FFFFFF" w:sz="0"/>
              <w:right w:val="none" w:color="FFFFFF" w:sz="0"/>
            </w:tcBorders>
            <w:shd w:fill="1A2E4A" w:val="clear"/>
            <w:tcMar>
              <w:top w:type="dxa" w:w="80"/>
              <w:left w:type="dxa" w:w="100"/>
              <w:bottom w:type="dxa" w:w="80"/>
              <w:right w:type="dxa" w:w="100"/>
            </w:tcMar>
          </w:tcPr>
          <w:p>
            <w:pPr>
              <w:spacing w:after="0" w:before="0"/>
            </w:pPr>
            <w:r>
              <w:rPr>
                <w:rFonts w:ascii="Arial" w:cs="Arial" w:eastAsia="Arial" w:hAnsi="Arial"/>
                <w:b/>
                <w:bCs/>
                <w:color w:val="FFFFFF"/>
                <w:sz w:val="18"/>
                <w:szCs w:val="18"/>
              </w:rPr>
              <w:t xml:space="preserve">Voce di danno / Strumento</w:t>
            </w:r>
          </w:p>
        </w:tc>
        <w:tc>
          <w:tcPr>
            <w:tcW w:type="dxa" w:w="2960"/>
            <w:tcBorders>
              <w:top w:val="none" w:color="FFFFFF" w:sz="0"/>
              <w:left w:val="none" w:color="FFFFFF" w:sz="0"/>
              <w:bottom w:val="none" w:color="FFFFFF" w:sz="0"/>
              <w:right w:val="none" w:color="FFFFFF" w:sz="0"/>
            </w:tcBorders>
            <w:shd w:fill="1A2E4A" w:val="clear"/>
            <w:tcMar>
              <w:top w:type="dxa" w:w="80"/>
              <w:left w:type="dxa" w:w="100"/>
              <w:bottom w:type="dxa" w:w="80"/>
              <w:right w:type="dxa" w:w="100"/>
            </w:tcMar>
          </w:tcPr>
          <w:p>
            <w:pPr>
              <w:spacing w:after="0" w:before="0"/>
            </w:pPr>
            <w:r>
              <w:rPr>
                <w:rFonts w:ascii="Arial" w:cs="Arial" w:eastAsia="Arial" w:hAnsi="Arial"/>
                <w:b/>
                <w:bCs/>
                <w:color w:val="FFFFFF"/>
                <w:sz w:val="18"/>
                <w:szCs w:val="18"/>
              </w:rPr>
              <w:t xml:space="preserve">Fondamento normativo principale</w:t>
            </w:r>
          </w:p>
        </w:tc>
        <w:tc>
          <w:tcPr>
            <w:tcW w:type="dxa" w:w="2600"/>
            <w:tcBorders>
              <w:top w:val="none" w:color="FFFFFF" w:sz="0"/>
              <w:left w:val="none" w:color="FFFFFF" w:sz="0"/>
              <w:bottom w:val="none" w:color="FFFFFF" w:sz="0"/>
              <w:right w:val="none" w:color="FFFFFF" w:sz="0"/>
            </w:tcBorders>
            <w:shd w:fill="1A2E4A" w:val="clear"/>
            <w:tcMar>
              <w:top w:type="dxa" w:w="80"/>
              <w:left w:type="dxa" w:w="100"/>
              <w:bottom w:type="dxa" w:w="80"/>
              <w:right w:type="dxa" w:w="100"/>
            </w:tcMar>
          </w:tcPr>
          <w:p>
            <w:pPr>
              <w:spacing w:after="0" w:before="0"/>
            </w:pPr>
            <w:r>
              <w:rPr>
                <w:rFonts w:ascii="Arial" w:cs="Arial" w:eastAsia="Arial" w:hAnsi="Arial"/>
                <w:b/>
                <w:bCs/>
                <w:color w:val="FFFFFF"/>
                <w:sz w:val="18"/>
                <w:szCs w:val="18"/>
              </w:rPr>
              <w:t xml:space="preserve">Sede</w:t>
            </w:r>
          </w:p>
        </w:tc>
      </w:tr>
      <w:tr>
        <w:tc>
          <w:tcPr>
            <w:tcW w:type="dxa" w:w="500"/>
            <w:tcBorders>
              <w:top w:val="single" w:color="D0D8E0" w:sz="1"/>
              <w:left w:val="single" w:color="D0D8E0" w:sz="1"/>
              <w:bottom w:val="single" w:color="D0D8E0" w:sz="1"/>
              <w:right w:val="single" w:color="D0D8E0" w:sz="1"/>
            </w:tcBorders>
            <w:shd w:fill="F2F6FA" w:val="clear"/>
            <w:tcMar>
              <w:top w:type="dxa" w:w="60"/>
              <w:left w:type="dxa" w:w="100"/>
              <w:bottom w:type="dxa" w:w="60"/>
              <w:right w:type="dxa" w:w="100"/>
            </w:tcMar>
          </w:tcPr>
          <w:p>
            <w:pPr>
              <w:spacing w:after="0" w:before="0"/>
            </w:pPr>
            <w:r>
              <w:rPr>
                <w:rFonts w:ascii="Arial" w:cs="Arial" w:eastAsia="Arial" w:hAnsi="Arial"/>
                <w:b/>
                <w:bCs/>
                <w:color w:val="1A2E4A"/>
                <w:sz w:val="17"/>
                <w:szCs w:val="17"/>
              </w:rPr>
              <w:t xml:space="preserve">I</w:t>
            </w:r>
          </w:p>
        </w:tc>
        <w:tc>
          <w:tcPr>
            <w:tcW w:type="dxa" w:w="3200"/>
            <w:tcBorders>
              <w:top w:val="single" w:color="D0D8E0" w:sz="1"/>
              <w:left w:val="single" w:color="D0D8E0" w:sz="1"/>
              <w:bottom w:val="single" w:color="D0D8E0" w:sz="1"/>
              <w:right w:val="single" w:color="D0D8E0" w:sz="1"/>
            </w:tcBorders>
            <w:shd w:fill="F2F6FA" w:val="clear"/>
            <w:tcMar>
              <w:top w:type="dxa" w:w="60"/>
              <w:left w:type="dxa" w:w="100"/>
              <w:bottom w:type="dxa" w:w="60"/>
              <w:right w:type="dxa" w:w="100"/>
            </w:tcMar>
          </w:tcPr>
          <w:p>
            <w:pPr>
              <w:spacing w:after="0" w:before="0"/>
            </w:pPr>
            <w:r>
              <w:rPr>
                <w:rFonts w:ascii="Arial" w:cs="Arial" w:eastAsia="Arial" w:hAnsi="Arial"/>
                <w:color w:val="4A5568"/>
                <w:sz w:val="17"/>
                <w:szCs w:val="17"/>
              </w:rPr>
              <w:t xml:space="preserve">Danno patrimoniale — Prezzo del consenso</w:t>
            </w:r>
          </w:p>
        </w:tc>
        <w:tc>
          <w:tcPr>
            <w:tcW w:type="dxa" w:w="2960"/>
            <w:tcBorders>
              <w:top w:val="single" w:color="D0D8E0" w:sz="1"/>
              <w:left w:val="single" w:color="D0D8E0" w:sz="1"/>
              <w:bottom w:val="single" w:color="D0D8E0" w:sz="1"/>
              <w:right w:val="single" w:color="D0D8E0" w:sz="1"/>
            </w:tcBorders>
            <w:shd w:fill="F2F6FA" w:val="clear"/>
            <w:tcMar>
              <w:top w:type="dxa" w:w="60"/>
              <w:left w:type="dxa" w:w="100"/>
              <w:bottom w:type="dxa" w:w="60"/>
              <w:right w:type="dxa" w:w="100"/>
            </w:tcMar>
          </w:tcPr>
          <w:p>
            <w:pPr>
              <w:spacing w:after="0" w:before="0"/>
            </w:pPr>
            <w:r>
              <w:rPr>
                <w:rFonts w:ascii="Courier New" w:cs="Courier New" w:eastAsia="Courier New" w:hAnsi="Courier New"/>
                <w:color w:val="006B6B"/>
                <w:sz w:val="15"/>
                <w:szCs w:val="15"/>
              </w:rPr>
              <w:t xml:space="preserve">Art. 10 c.c.; artt. 96–97 L. 633/1941</w:t>
            </w:r>
          </w:p>
        </w:tc>
        <w:tc>
          <w:tcPr>
            <w:tcW w:type="dxa" w:w="2600"/>
            <w:tcBorders>
              <w:top w:val="single" w:color="D0D8E0" w:sz="1"/>
              <w:left w:val="single" w:color="D0D8E0" w:sz="1"/>
              <w:bottom w:val="single" w:color="D0D8E0" w:sz="1"/>
              <w:right w:val="single" w:color="D0D8E0" w:sz="1"/>
            </w:tcBorders>
            <w:shd w:fill="F2F6FA" w:val="clear"/>
            <w:tcMar>
              <w:top w:type="dxa" w:w="60"/>
              <w:left w:type="dxa" w:w="100"/>
              <w:bottom w:type="dxa" w:w="60"/>
              <w:right w:type="dxa" w:w="100"/>
            </w:tcMar>
          </w:tcPr>
          <w:p>
            <w:pPr>
              <w:spacing w:after="0" w:before="0"/>
            </w:pPr>
            <w:r>
              <w:rPr>
                <w:rFonts w:ascii="Arial" w:cs="Arial" w:eastAsia="Arial" w:hAnsi="Arial"/>
                <w:color w:val="4A5568"/>
                <w:sz w:val="17"/>
                <w:szCs w:val="17"/>
              </w:rPr>
              <w:t xml:space="preserve">Tribunale civile</w:t>
            </w:r>
          </w:p>
        </w:tc>
      </w:tr>
      <w:tr>
        <w:tc>
          <w:tcPr>
            <w:tcW w:type="dxa" w:w="500"/>
            <w:tcBorders>
              <w:top w:val="single" w:color="D0D8E0" w:sz="1"/>
              <w:left w:val="single" w:color="D0D8E0" w:sz="1"/>
              <w:bottom w:val="single" w:color="D0D8E0" w:sz="1"/>
              <w:right w:val="single" w:color="D0D8E0" w:sz="1"/>
            </w:tcBorders>
            <w:shd w:fill="FFFFFF" w:val="clear"/>
            <w:tcMar>
              <w:top w:type="dxa" w:w="60"/>
              <w:left w:type="dxa" w:w="100"/>
              <w:bottom w:type="dxa" w:w="60"/>
              <w:right w:type="dxa" w:w="100"/>
            </w:tcMar>
          </w:tcPr>
          <w:p>
            <w:pPr>
              <w:spacing w:after="0" w:before="0"/>
            </w:pPr>
            <w:r>
              <w:rPr>
                <w:rFonts w:ascii="Arial" w:cs="Arial" w:eastAsia="Arial" w:hAnsi="Arial"/>
                <w:b/>
                <w:bCs/>
                <w:color w:val="1A2E4A"/>
                <w:sz w:val="17"/>
                <w:szCs w:val="17"/>
              </w:rPr>
              <w:t xml:space="preserve">II</w:t>
            </w:r>
          </w:p>
        </w:tc>
        <w:tc>
          <w:tcPr>
            <w:tcW w:type="dxa" w:w="3200"/>
            <w:tcBorders>
              <w:top w:val="single" w:color="D0D8E0" w:sz="1"/>
              <w:left w:val="single" w:color="D0D8E0" w:sz="1"/>
              <w:bottom w:val="single" w:color="D0D8E0" w:sz="1"/>
              <w:right w:val="single" w:color="D0D8E0" w:sz="1"/>
            </w:tcBorders>
            <w:shd w:fill="FFFFFF" w:val="clear"/>
            <w:tcMar>
              <w:top w:type="dxa" w:w="60"/>
              <w:left w:type="dxa" w:w="100"/>
              <w:bottom w:type="dxa" w:w="60"/>
              <w:right w:type="dxa" w:w="100"/>
            </w:tcMar>
          </w:tcPr>
          <w:p>
            <w:pPr>
              <w:spacing w:after="0" w:before="0"/>
            </w:pPr>
            <w:r>
              <w:rPr>
                <w:rFonts w:ascii="Arial" w:cs="Arial" w:eastAsia="Arial" w:hAnsi="Arial"/>
                <w:color w:val="4A5568"/>
                <w:sz w:val="17"/>
                <w:szCs w:val="17"/>
              </w:rPr>
              <w:t xml:space="preserve">Danno non patrimoniale — Morale/esistenziale</w:t>
            </w:r>
          </w:p>
        </w:tc>
        <w:tc>
          <w:tcPr>
            <w:tcW w:type="dxa" w:w="2960"/>
            <w:tcBorders>
              <w:top w:val="single" w:color="D0D8E0" w:sz="1"/>
              <w:left w:val="single" w:color="D0D8E0" w:sz="1"/>
              <w:bottom w:val="single" w:color="D0D8E0" w:sz="1"/>
              <w:right w:val="single" w:color="D0D8E0" w:sz="1"/>
            </w:tcBorders>
            <w:shd w:fill="FFFFFF" w:val="clear"/>
            <w:tcMar>
              <w:top w:type="dxa" w:w="60"/>
              <w:left w:type="dxa" w:w="100"/>
              <w:bottom w:type="dxa" w:w="60"/>
              <w:right w:type="dxa" w:w="100"/>
            </w:tcMar>
          </w:tcPr>
          <w:p>
            <w:pPr>
              <w:spacing w:after="0" w:before="0"/>
            </w:pPr>
            <w:r>
              <w:rPr>
                <w:rFonts w:ascii="Courier New" w:cs="Courier New" w:eastAsia="Courier New" w:hAnsi="Courier New"/>
                <w:color w:val="006B6B"/>
                <w:sz w:val="15"/>
                <w:szCs w:val="15"/>
              </w:rPr>
              <w:t xml:space="preserve">Art. 2059 c.c.; art. 82 GDPR; art. 8 CEDU</w:t>
            </w:r>
          </w:p>
        </w:tc>
        <w:tc>
          <w:tcPr>
            <w:tcW w:type="dxa" w:w="2600"/>
            <w:tcBorders>
              <w:top w:val="single" w:color="D0D8E0" w:sz="1"/>
              <w:left w:val="single" w:color="D0D8E0" w:sz="1"/>
              <w:bottom w:val="single" w:color="D0D8E0" w:sz="1"/>
              <w:right w:val="single" w:color="D0D8E0" w:sz="1"/>
            </w:tcBorders>
            <w:shd w:fill="FFFFFF" w:val="clear"/>
            <w:tcMar>
              <w:top w:type="dxa" w:w="60"/>
              <w:left w:type="dxa" w:w="100"/>
              <w:bottom w:type="dxa" w:w="60"/>
              <w:right w:type="dxa" w:w="100"/>
            </w:tcMar>
          </w:tcPr>
          <w:p>
            <w:pPr>
              <w:spacing w:after="0" w:before="0"/>
            </w:pPr>
            <w:r>
              <w:rPr>
                <w:rFonts w:ascii="Arial" w:cs="Arial" w:eastAsia="Arial" w:hAnsi="Arial"/>
                <w:color w:val="4A5568"/>
                <w:sz w:val="17"/>
                <w:szCs w:val="17"/>
              </w:rPr>
              <w:t xml:space="preserve">Tribunale civile</w:t>
            </w:r>
          </w:p>
        </w:tc>
      </w:tr>
      <w:tr>
        <w:tc>
          <w:tcPr>
            <w:tcW w:type="dxa" w:w="500"/>
            <w:tcBorders>
              <w:top w:val="single" w:color="D0D8E0" w:sz="1"/>
              <w:left w:val="single" w:color="D0D8E0" w:sz="1"/>
              <w:bottom w:val="single" w:color="D0D8E0" w:sz="1"/>
              <w:right w:val="single" w:color="D0D8E0" w:sz="1"/>
            </w:tcBorders>
            <w:shd w:fill="F2F6FA" w:val="clear"/>
            <w:tcMar>
              <w:top w:type="dxa" w:w="60"/>
              <w:left w:type="dxa" w:w="100"/>
              <w:bottom w:type="dxa" w:w="60"/>
              <w:right w:type="dxa" w:w="100"/>
            </w:tcMar>
          </w:tcPr>
          <w:p>
            <w:pPr>
              <w:spacing w:after="0" w:before="0"/>
            </w:pPr>
            <w:r>
              <w:rPr>
                <w:rFonts w:ascii="Arial" w:cs="Arial" w:eastAsia="Arial" w:hAnsi="Arial"/>
                <w:b/>
                <w:bCs/>
                <w:color w:val="1A2E4A"/>
                <w:sz w:val="17"/>
                <w:szCs w:val="17"/>
              </w:rPr>
              <w:t xml:space="preserve">III</w:t>
            </w:r>
          </w:p>
        </w:tc>
        <w:tc>
          <w:tcPr>
            <w:tcW w:type="dxa" w:w="3200"/>
            <w:tcBorders>
              <w:top w:val="single" w:color="D0D8E0" w:sz="1"/>
              <w:left w:val="single" w:color="D0D8E0" w:sz="1"/>
              <w:bottom w:val="single" w:color="D0D8E0" w:sz="1"/>
              <w:right w:val="single" w:color="D0D8E0" w:sz="1"/>
            </w:tcBorders>
            <w:shd w:fill="F2F6FA" w:val="clear"/>
            <w:tcMar>
              <w:top w:type="dxa" w:w="60"/>
              <w:left w:type="dxa" w:w="100"/>
              <w:bottom w:type="dxa" w:w="60"/>
              <w:right w:type="dxa" w:w="100"/>
            </w:tcMar>
          </w:tcPr>
          <w:p>
            <w:pPr>
              <w:spacing w:after="0" w:before="0"/>
            </w:pPr>
            <w:r>
              <w:rPr>
                <w:rFonts w:ascii="Arial" w:cs="Arial" w:eastAsia="Arial" w:hAnsi="Arial"/>
                <w:color w:val="4A5568"/>
                <w:sz w:val="17"/>
                <w:szCs w:val="17"/>
              </w:rPr>
              <w:t xml:space="preserve">Danno da trattamento illecito (GDPR)</w:t>
            </w:r>
          </w:p>
        </w:tc>
        <w:tc>
          <w:tcPr>
            <w:tcW w:type="dxa" w:w="2960"/>
            <w:tcBorders>
              <w:top w:val="single" w:color="D0D8E0" w:sz="1"/>
              <w:left w:val="single" w:color="D0D8E0" w:sz="1"/>
              <w:bottom w:val="single" w:color="D0D8E0" w:sz="1"/>
              <w:right w:val="single" w:color="D0D8E0" w:sz="1"/>
            </w:tcBorders>
            <w:shd w:fill="F2F6FA" w:val="clear"/>
            <w:tcMar>
              <w:top w:type="dxa" w:w="60"/>
              <w:left w:type="dxa" w:w="100"/>
              <w:bottom w:type="dxa" w:w="60"/>
              <w:right w:type="dxa" w:w="100"/>
            </w:tcMar>
          </w:tcPr>
          <w:p>
            <w:pPr>
              <w:spacing w:after="0" w:before="0"/>
            </w:pPr>
            <w:r>
              <w:rPr>
                <w:rFonts w:ascii="Courier New" w:cs="Courier New" w:eastAsia="Courier New" w:hAnsi="Courier New"/>
                <w:color w:val="006B6B"/>
                <w:sz w:val="15"/>
                <w:szCs w:val="15"/>
              </w:rPr>
              <w:t xml:space="preserve">Art. 82 Reg. UE 2016/679</w:t>
            </w:r>
          </w:p>
        </w:tc>
        <w:tc>
          <w:tcPr>
            <w:tcW w:type="dxa" w:w="2600"/>
            <w:tcBorders>
              <w:top w:val="single" w:color="D0D8E0" w:sz="1"/>
              <w:left w:val="single" w:color="D0D8E0" w:sz="1"/>
              <w:bottom w:val="single" w:color="D0D8E0" w:sz="1"/>
              <w:right w:val="single" w:color="D0D8E0" w:sz="1"/>
            </w:tcBorders>
            <w:shd w:fill="F2F6FA" w:val="clear"/>
            <w:tcMar>
              <w:top w:type="dxa" w:w="60"/>
              <w:left w:type="dxa" w:w="100"/>
              <w:bottom w:type="dxa" w:w="60"/>
              <w:right w:type="dxa" w:w="100"/>
            </w:tcMar>
          </w:tcPr>
          <w:p>
            <w:pPr>
              <w:spacing w:after="0" w:before="0"/>
            </w:pPr>
            <w:r>
              <w:rPr>
                <w:rFonts w:ascii="Arial" w:cs="Arial" w:eastAsia="Arial" w:hAnsi="Arial"/>
                <w:color w:val="4A5568"/>
                <w:sz w:val="17"/>
                <w:szCs w:val="17"/>
              </w:rPr>
              <w:t xml:space="preserve">Tribunale (rito lavoro)</w:t>
            </w:r>
          </w:p>
        </w:tc>
      </w:tr>
      <w:tr>
        <w:tc>
          <w:tcPr>
            <w:tcW w:type="dxa" w:w="500"/>
            <w:tcBorders>
              <w:top w:val="single" w:color="D0D8E0" w:sz="1"/>
              <w:left w:val="single" w:color="D0D8E0" w:sz="1"/>
              <w:bottom w:val="single" w:color="D0D8E0" w:sz="1"/>
              <w:right w:val="single" w:color="D0D8E0" w:sz="1"/>
            </w:tcBorders>
            <w:shd w:fill="FFFFFF" w:val="clear"/>
            <w:tcMar>
              <w:top w:type="dxa" w:w="60"/>
              <w:left w:type="dxa" w:w="100"/>
              <w:bottom w:type="dxa" w:w="60"/>
              <w:right w:type="dxa" w:w="100"/>
            </w:tcMar>
          </w:tcPr>
          <w:p>
            <w:pPr>
              <w:spacing w:after="0" w:before="0"/>
            </w:pPr>
            <w:r>
              <w:rPr>
                <w:rFonts w:ascii="Arial" w:cs="Arial" w:eastAsia="Arial" w:hAnsi="Arial"/>
                <w:b/>
                <w:bCs/>
                <w:color w:val="1A2E4A"/>
                <w:sz w:val="17"/>
                <w:szCs w:val="17"/>
              </w:rPr>
              <w:t xml:space="preserve">IV</w:t>
            </w:r>
          </w:p>
        </w:tc>
        <w:tc>
          <w:tcPr>
            <w:tcW w:type="dxa" w:w="3200"/>
            <w:tcBorders>
              <w:top w:val="single" w:color="D0D8E0" w:sz="1"/>
              <w:left w:val="single" w:color="D0D8E0" w:sz="1"/>
              <w:bottom w:val="single" w:color="D0D8E0" w:sz="1"/>
              <w:right w:val="single" w:color="D0D8E0" w:sz="1"/>
            </w:tcBorders>
            <w:shd w:fill="FFFFFF" w:val="clear"/>
            <w:tcMar>
              <w:top w:type="dxa" w:w="60"/>
              <w:left w:type="dxa" w:w="100"/>
              <w:bottom w:type="dxa" w:w="60"/>
              <w:right w:type="dxa" w:w="100"/>
            </w:tcMar>
          </w:tcPr>
          <w:p>
            <w:pPr>
              <w:spacing w:after="0" w:before="0"/>
            </w:pPr>
            <w:r>
              <w:rPr>
                <w:rFonts w:ascii="Arial" w:cs="Arial" w:eastAsia="Arial" w:hAnsi="Arial"/>
                <w:color w:val="4A5568"/>
                <w:sz w:val="17"/>
                <w:szCs w:val="17"/>
              </w:rPr>
              <w:t xml:space="preserve">Danno da perdita di controllo sui dati</w:t>
            </w:r>
          </w:p>
        </w:tc>
        <w:tc>
          <w:tcPr>
            <w:tcW w:type="dxa" w:w="2960"/>
            <w:tcBorders>
              <w:top w:val="single" w:color="D0D8E0" w:sz="1"/>
              <w:left w:val="single" w:color="D0D8E0" w:sz="1"/>
              <w:bottom w:val="single" w:color="D0D8E0" w:sz="1"/>
              <w:right w:val="single" w:color="D0D8E0" w:sz="1"/>
            </w:tcBorders>
            <w:shd w:fill="FFFFFF" w:val="clear"/>
            <w:tcMar>
              <w:top w:type="dxa" w:w="60"/>
              <w:left w:type="dxa" w:w="100"/>
              <w:bottom w:type="dxa" w:w="60"/>
              <w:right w:type="dxa" w:w="100"/>
            </w:tcMar>
          </w:tcPr>
          <w:p>
            <w:pPr>
              <w:spacing w:after="0" w:before="0"/>
            </w:pPr>
            <w:r>
              <w:rPr>
                <w:rFonts w:ascii="Courier New" w:cs="Courier New" w:eastAsia="Courier New" w:hAnsi="Courier New"/>
                <w:color w:val="006B6B"/>
                <w:sz w:val="15"/>
                <w:szCs w:val="15"/>
              </w:rPr>
              <w:t xml:space="preserve">Art. 82 GDPR; Considerando 75, 85, 146</w:t>
            </w:r>
          </w:p>
        </w:tc>
        <w:tc>
          <w:tcPr>
            <w:tcW w:type="dxa" w:w="2600"/>
            <w:tcBorders>
              <w:top w:val="single" w:color="D0D8E0" w:sz="1"/>
              <w:left w:val="single" w:color="D0D8E0" w:sz="1"/>
              <w:bottom w:val="single" w:color="D0D8E0" w:sz="1"/>
              <w:right w:val="single" w:color="D0D8E0" w:sz="1"/>
            </w:tcBorders>
            <w:shd w:fill="FFFFFF" w:val="clear"/>
            <w:tcMar>
              <w:top w:type="dxa" w:w="60"/>
              <w:left w:type="dxa" w:w="100"/>
              <w:bottom w:type="dxa" w:w="60"/>
              <w:right w:type="dxa" w:w="100"/>
            </w:tcMar>
          </w:tcPr>
          <w:p>
            <w:pPr>
              <w:spacing w:after="0" w:before="0"/>
            </w:pPr>
            <w:r>
              <w:rPr>
                <w:rFonts w:ascii="Arial" w:cs="Arial" w:eastAsia="Arial" w:hAnsi="Arial"/>
                <w:color w:val="4A5568"/>
                <w:sz w:val="17"/>
                <w:szCs w:val="17"/>
              </w:rPr>
              <w:t xml:space="preserve">Tribunale (rito lavoro)</w:t>
            </w:r>
          </w:p>
        </w:tc>
      </w:tr>
      <w:tr>
        <w:tc>
          <w:tcPr>
            <w:tcW w:type="dxa" w:w="500"/>
            <w:tcBorders>
              <w:top w:val="single" w:color="D0D8E0" w:sz="1"/>
              <w:left w:val="single" w:color="D0D8E0" w:sz="1"/>
              <w:bottom w:val="single" w:color="D0D8E0" w:sz="1"/>
              <w:right w:val="single" w:color="D0D8E0" w:sz="1"/>
            </w:tcBorders>
            <w:shd w:fill="F2F6FA" w:val="clear"/>
            <w:tcMar>
              <w:top w:type="dxa" w:w="60"/>
              <w:left w:type="dxa" w:w="100"/>
              <w:bottom w:type="dxa" w:w="60"/>
              <w:right w:type="dxa" w:w="100"/>
            </w:tcMar>
          </w:tcPr>
          <w:p>
            <w:pPr>
              <w:spacing w:after="0" w:before="0"/>
            </w:pPr>
            <w:r>
              <w:rPr>
                <w:rFonts w:ascii="Arial" w:cs="Arial" w:eastAsia="Arial" w:hAnsi="Arial"/>
                <w:b/>
                <w:bCs/>
                <w:color w:val="1A2E4A"/>
                <w:sz w:val="17"/>
                <w:szCs w:val="17"/>
              </w:rPr>
              <w:t xml:space="preserve">V</w:t>
            </w:r>
          </w:p>
        </w:tc>
        <w:tc>
          <w:tcPr>
            <w:tcW w:type="dxa" w:w="3200"/>
            <w:tcBorders>
              <w:top w:val="single" w:color="D0D8E0" w:sz="1"/>
              <w:left w:val="single" w:color="D0D8E0" w:sz="1"/>
              <w:bottom w:val="single" w:color="D0D8E0" w:sz="1"/>
              <w:right w:val="single" w:color="D0D8E0" w:sz="1"/>
            </w:tcBorders>
            <w:shd w:fill="F2F6FA" w:val="clear"/>
            <w:tcMar>
              <w:top w:type="dxa" w:w="60"/>
              <w:left w:type="dxa" w:w="100"/>
              <w:bottom w:type="dxa" w:w="60"/>
              <w:right w:type="dxa" w:w="100"/>
            </w:tcMar>
          </w:tcPr>
          <w:p>
            <w:pPr>
              <w:spacing w:after="0" w:before="0"/>
            </w:pPr>
            <w:r>
              <w:rPr>
                <w:rFonts w:ascii="Arial" w:cs="Arial" w:eastAsia="Arial" w:hAnsi="Arial"/>
                <w:color w:val="4A5568"/>
                <w:sz w:val="17"/>
                <w:szCs w:val="17"/>
              </w:rPr>
              <w:t xml:space="preserve">Danno da violazione diritto di accesso (art. 15 GDPR)</w:t>
            </w:r>
          </w:p>
        </w:tc>
        <w:tc>
          <w:tcPr>
            <w:tcW w:type="dxa" w:w="2960"/>
            <w:tcBorders>
              <w:top w:val="single" w:color="D0D8E0" w:sz="1"/>
              <w:left w:val="single" w:color="D0D8E0" w:sz="1"/>
              <w:bottom w:val="single" w:color="D0D8E0" w:sz="1"/>
              <w:right w:val="single" w:color="D0D8E0" w:sz="1"/>
            </w:tcBorders>
            <w:shd w:fill="F2F6FA" w:val="clear"/>
            <w:tcMar>
              <w:top w:type="dxa" w:w="60"/>
              <w:left w:type="dxa" w:w="100"/>
              <w:bottom w:type="dxa" w:w="60"/>
              <w:right w:type="dxa" w:w="100"/>
            </w:tcMar>
          </w:tcPr>
          <w:p>
            <w:pPr>
              <w:spacing w:after="0" w:before="0"/>
            </w:pPr>
            <w:r>
              <w:rPr>
                <w:rFonts w:ascii="Courier New" w:cs="Courier New" w:eastAsia="Courier New" w:hAnsi="Courier New"/>
                <w:color w:val="006B6B"/>
                <w:sz w:val="15"/>
                <w:szCs w:val="15"/>
              </w:rPr>
              <w:t xml:space="preserve">Artt. 12–15 GDPR; C-526/24 Brillen Rottler</w:t>
            </w:r>
          </w:p>
        </w:tc>
        <w:tc>
          <w:tcPr>
            <w:tcW w:type="dxa" w:w="2600"/>
            <w:tcBorders>
              <w:top w:val="single" w:color="D0D8E0" w:sz="1"/>
              <w:left w:val="single" w:color="D0D8E0" w:sz="1"/>
              <w:bottom w:val="single" w:color="D0D8E0" w:sz="1"/>
              <w:right w:val="single" w:color="D0D8E0" w:sz="1"/>
            </w:tcBorders>
            <w:shd w:fill="F2F6FA" w:val="clear"/>
            <w:tcMar>
              <w:top w:type="dxa" w:w="60"/>
              <w:left w:type="dxa" w:w="100"/>
              <w:bottom w:type="dxa" w:w="60"/>
              <w:right w:type="dxa" w:w="100"/>
            </w:tcMar>
          </w:tcPr>
          <w:p>
            <w:pPr>
              <w:spacing w:after="0" w:before="0"/>
            </w:pPr>
            <w:r>
              <w:rPr>
                <w:rFonts w:ascii="Arial" w:cs="Arial" w:eastAsia="Arial" w:hAnsi="Arial"/>
                <w:color w:val="4A5568"/>
                <w:sz w:val="17"/>
                <w:szCs w:val="17"/>
              </w:rPr>
              <w:t xml:space="preserve">Tribunale (rito lavoro)</w:t>
            </w:r>
          </w:p>
        </w:tc>
      </w:tr>
      <w:tr>
        <w:tc>
          <w:tcPr>
            <w:tcW w:type="dxa" w:w="500"/>
            <w:tcBorders>
              <w:top w:val="single" w:color="D0D8E0" w:sz="1"/>
              <w:left w:val="single" w:color="D0D8E0" w:sz="1"/>
              <w:bottom w:val="single" w:color="D0D8E0" w:sz="1"/>
              <w:right w:val="single" w:color="D0D8E0" w:sz="1"/>
            </w:tcBorders>
            <w:shd w:fill="FFFFFF" w:val="clear"/>
            <w:tcMar>
              <w:top w:type="dxa" w:w="60"/>
              <w:left w:type="dxa" w:w="100"/>
              <w:bottom w:type="dxa" w:w="60"/>
              <w:right w:type="dxa" w:w="100"/>
            </w:tcMar>
          </w:tcPr>
          <w:p>
            <w:pPr>
              <w:spacing w:after="0" w:before="0"/>
            </w:pPr>
            <w:r>
              <w:rPr>
                <w:rFonts w:ascii="Arial" w:cs="Arial" w:eastAsia="Arial" w:hAnsi="Arial"/>
                <w:b/>
                <w:bCs/>
                <w:color w:val="1A2E4A"/>
                <w:sz w:val="17"/>
                <w:szCs w:val="17"/>
              </w:rPr>
              <w:t xml:space="preserve">VI</w:t>
            </w:r>
          </w:p>
        </w:tc>
        <w:tc>
          <w:tcPr>
            <w:tcW w:type="dxa" w:w="3200"/>
            <w:tcBorders>
              <w:top w:val="single" w:color="D0D8E0" w:sz="1"/>
              <w:left w:val="single" w:color="D0D8E0" w:sz="1"/>
              <w:bottom w:val="single" w:color="D0D8E0" w:sz="1"/>
              <w:right w:val="single" w:color="D0D8E0" w:sz="1"/>
            </w:tcBorders>
            <w:shd w:fill="FFFFFF" w:val="clear"/>
            <w:tcMar>
              <w:top w:type="dxa" w:w="60"/>
              <w:left w:type="dxa" w:w="100"/>
              <w:bottom w:type="dxa" w:w="60"/>
              <w:right w:type="dxa" w:w="100"/>
            </w:tcMar>
          </w:tcPr>
          <w:p>
            <w:pPr>
              <w:spacing w:after="0" w:before="0"/>
            </w:pPr>
            <w:r>
              <w:rPr>
                <w:rFonts w:ascii="Arial" w:cs="Arial" w:eastAsia="Arial" w:hAnsi="Arial"/>
                <w:color w:val="4A5568"/>
                <w:sz w:val="17"/>
                <w:szCs w:val="17"/>
              </w:rPr>
              <w:t xml:space="preserve">Tutela inibitoria e ripristinatoria</w:t>
            </w:r>
          </w:p>
        </w:tc>
        <w:tc>
          <w:tcPr>
            <w:tcW w:type="dxa" w:w="2960"/>
            <w:tcBorders>
              <w:top w:val="single" w:color="D0D8E0" w:sz="1"/>
              <w:left w:val="single" w:color="D0D8E0" w:sz="1"/>
              <w:bottom w:val="single" w:color="D0D8E0" w:sz="1"/>
              <w:right w:val="single" w:color="D0D8E0" w:sz="1"/>
            </w:tcBorders>
            <w:shd w:fill="FFFFFF" w:val="clear"/>
            <w:tcMar>
              <w:top w:type="dxa" w:w="60"/>
              <w:left w:type="dxa" w:w="100"/>
              <w:bottom w:type="dxa" w:w="60"/>
              <w:right w:type="dxa" w:w="100"/>
            </w:tcMar>
          </w:tcPr>
          <w:p>
            <w:pPr>
              <w:spacing w:after="0" w:before="0"/>
            </w:pPr>
            <w:r>
              <w:rPr>
                <w:rFonts w:ascii="Courier New" w:cs="Courier New" w:eastAsia="Courier New" w:hAnsi="Courier New"/>
                <w:color w:val="006B6B"/>
                <w:sz w:val="15"/>
                <w:szCs w:val="15"/>
              </w:rPr>
              <w:t xml:space="preserve">Art. 10 c.c.; art. 17 GDPR; art. 700 c.p.c.</w:t>
            </w:r>
          </w:p>
        </w:tc>
        <w:tc>
          <w:tcPr>
            <w:tcW w:type="dxa" w:w="2600"/>
            <w:tcBorders>
              <w:top w:val="single" w:color="D0D8E0" w:sz="1"/>
              <w:left w:val="single" w:color="D0D8E0" w:sz="1"/>
              <w:bottom w:val="single" w:color="D0D8E0" w:sz="1"/>
              <w:right w:val="single" w:color="D0D8E0" w:sz="1"/>
            </w:tcBorders>
            <w:shd w:fill="FFFFFF" w:val="clear"/>
            <w:tcMar>
              <w:top w:type="dxa" w:w="60"/>
              <w:left w:type="dxa" w:w="100"/>
              <w:bottom w:type="dxa" w:w="60"/>
              <w:right w:type="dxa" w:w="100"/>
            </w:tcMar>
          </w:tcPr>
          <w:p>
            <w:pPr>
              <w:spacing w:after="0" w:before="0"/>
            </w:pPr>
            <w:r>
              <w:rPr>
                <w:rFonts w:ascii="Arial" w:cs="Arial" w:eastAsia="Arial" w:hAnsi="Arial"/>
                <w:color w:val="4A5568"/>
                <w:sz w:val="17"/>
                <w:szCs w:val="17"/>
              </w:rPr>
              <w:t xml:space="preserve">Tribunale (cautelare)</w:t>
            </w:r>
          </w:p>
        </w:tc>
      </w:tr>
      <w:tr>
        <w:tc>
          <w:tcPr>
            <w:tcW w:type="dxa" w:w="500"/>
            <w:tcBorders>
              <w:top w:val="single" w:color="D0D8E0" w:sz="1"/>
              <w:left w:val="single" w:color="D0D8E0" w:sz="1"/>
              <w:bottom w:val="single" w:color="D0D8E0" w:sz="1"/>
              <w:right w:val="single" w:color="D0D8E0" w:sz="1"/>
            </w:tcBorders>
            <w:shd w:fill="F2F6FA" w:val="clear"/>
            <w:tcMar>
              <w:top w:type="dxa" w:w="60"/>
              <w:left w:type="dxa" w:w="100"/>
              <w:bottom w:type="dxa" w:w="60"/>
              <w:right w:type="dxa" w:w="100"/>
            </w:tcMar>
          </w:tcPr>
          <w:p>
            <w:pPr>
              <w:spacing w:after="0" w:before="0"/>
            </w:pPr>
            <w:r>
              <w:rPr>
                <w:rFonts w:ascii="Arial" w:cs="Arial" w:eastAsia="Arial" w:hAnsi="Arial"/>
                <w:b/>
                <w:bCs/>
                <w:color w:val="1A2E4A"/>
                <w:sz w:val="17"/>
                <w:szCs w:val="17"/>
              </w:rPr>
              <w:t xml:space="preserve">VII</w:t>
            </w:r>
          </w:p>
        </w:tc>
        <w:tc>
          <w:tcPr>
            <w:tcW w:type="dxa" w:w="3200"/>
            <w:tcBorders>
              <w:top w:val="single" w:color="D0D8E0" w:sz="1"/>
              <w:left w:val="single" w:color="D0D8E0" w:sz="1"/>
              <w:bottom w:val="single" w:color="D0D8E0" w:sz="1"/>
              <w:right w:val="single" w:color="D0D8E0" w:sz="1"/>
            </w:tcBorders>
            <w:shd w:fill="F2F6FA" w:val="clear"/>
            <w:tcMar>
              <w:top w:type="dxa" w:w="60"/>
              <w:left w:type="dxa" w:w="100"/>
              <w:bottom w:type="dxa" w:w="60"/>
              <w:right w:type="dxa" w:w="100"/>
            </w:tcMar>
          </w:tcPr>
          <w:p>
            <w:pPr>
              <w:spacing w:after="0" w:before="0"/>
            </w:pPr>
            <w:r>
              <w:rPr>
                <w:rFonts w:ascii="Arial" w:cs="Arial" w:eastAsia="Arial" w:hAnsi="Arial"/>
                <w:color w:val="4A5568"/>
                <w:sz w:val="17"/>
                <w:szCs w:val="17"/>
              </w:rPr>
              <w:t xml:space="preserve">Reclamo al Garante Privacy</w:t>
            </w:r>
          </w:p>
        </w:tc>
        <w:tc>
          <w:tcPr>
            <w:tcW w:type="dxa" w:w="2960"/>
            <w:tcBorders>
              <w:top w:val="single" w:color="D0D8E0" w:sz="1"/>
              <w:left w:val="single" w:color="D0D8E0" w:sz="1"/>
              <w:bottom w:val="single" w:color="D0D8E0" w:sz="1"/>
              <w:right w:val="single" w:color="D0D8E0" w:sz="1"/>
            </w:tcBorders>
            <w:shd w:fill="F2F6FA" w:val="clear"/>
            <w:tcMar>
              <w:top w:type="dxa" w:w="60"/>
              <w:left w:type="dxa" w:w="100"/>
              <w:bottom w:type="dxa" w:w="60"/>
              <w:right w:type="dxa" w:w="100"/>
            </w:tcMar>
          </w:tcPr>
          <w:p>
            <w:pPr>
              <w:spacing w:after="0" w:before="0"/>
            </w:pPr>
            <w:r>
              <w:rPr>
                <w:rFonts w:ascii="Courier New" w:cs="Courier New" w:eastAsia="Courier New" w:hAnsi="Courier New"/>
                <w:color w:val="006B6B"/>
                <w:sz w:val="15"/>
                <w:szCs w:val="15"/>
              </w:rPr>
              <w:t xml:space="preserve">Artt. 77–58 GDPR; art. 140-bis D.Lgs. 196/2003</w:t>
            </w:r>
          </w:p>
        </w:tc>
        <w:tc>
          <w:tcPr>
            <w:tcW w:type="dxa" w:w="2600"/>
            <w:tcBorders>
              <w:top w:val="single" w:color="D0D8E0" w:sz="1"/>
              <w:left w:val="single" w:color="D0D8E0" w:sz="1"/>
              <w:bottom w:val="single" w:color="D0D8E0" w:sz="1"/>
              <w:right w:val="single" w:color="D0D8E0" w:sz="1"/>
            </w:tcBorders>
            <w:shd w:fill="F2F6FA" w:val="clear"/>
            <w:tcMar>
              <w:top w:type="dxa" w:w="60"/>
              <w:left w:type="dxa" w:w="100"/>
              <w:bottom w:type="dxa" w:w="60"/>
              <w:right w:type="dxa" w:w="100"/>
            </w:tcMar>
          </w:tcPr>
          <w:p>
            <w:pPr>
              <w:spacing w:after="0" w:before="0"/>
            </w:pPr>
            <w:r>
              <w:rPr>
                <w:rFonts w:ascii="Arial" w:cs="Arial" w:eastAsia="Arial" w:hAnsi="Arial"/>
                <w:color w:val="4A5568"/>
                <w:sz w:val="17"/>
                <w:szCs w:val="17"/>
              </w:rPr>
              <w:t xml:space="preserve">Garante (amministrativo)</w:t>
            </w:r>
          </w:p>
        </w:tc>
      </w:tr>
      <w:tr>
        <w:tc>
          <w:tcPr>
            <w:tcW w:type="dxa" w:w="500"/>
            <w:tcBorders>
              <w:top w:val="single" w:color="D0D8E0" w:sz="1"/>
              <w:left w:val="single" w:color="D0D8E0" w:sz="1"/>
              <w:bottom w:val="single" w:color="D0D8E0" w:sz="1"/>
              <w:right w:val="single" w:color="D0D8E0" w:sz="1"/>
            </w:tcBorders>
            <w:shd w:fill="FFFFFF" w:val="clear"/>
            <w:tcMar>
              <w:top w:type="dxa" w:w="60"/>
              <w:left w:type="dxa" w:w="100"/>
              <w:bottom w:type="dxa" w:w="60"/>
              <w:right w:type="dxa" w:w="100"/>
            </w:tcMar>
          </w:tcPr>
          <w:p>
            <w:pPr>
              <w:spacing w:after="0" w:before="0"/>
            </w:pPr>
            <w:r>
              <w:rPr>
                <w:rFonts w:ascii="Arial" w:cs="Arial" w:eastAsia="Arial" w:hAnsi="Arial"/>
                <w:b/>
                <w:bCs/>
                <w:color w:val="1A2E4A"/>
                <w:sz w:val="17"/>
                <w:szCs w:val="17"/>
              </w:rPr>
              <w:t xml:space="preserve">VIII</w:t>
            </w:r>
          </w:p>
        </w:tc>
        <w:tc>
          <w:tcPr>
            <w:tcW w:type="dxa" w:w="3200"/>
            <w:tcBorders>
              <w:top w:val="single" w:color="D0D8E0" w:sz="1"/>
              <w:left w:val="single" w:color="D0D8E0" w:sz="1"/>
              <w:bottom w:val="single" w:color="D0D8E0" w:sz="1"/>
              <w:right w:val="single" w:color="D0D8E0" w:sz="1"/>
            </w:tcBorders>
            <w:shd w:fill="FFFFFF" w:val="clear"/>
            <w:tcMar>
              <w:top w:type="dxa" w:w="60"/>
              <w:left w:type="dxa" w:w="100"/>
              <w:bottom w:type="dxa" w:w="60"/>
              <w:right w:type="dxa" w:w="100"/>
            </w:tcMar>
          </w:tcPr>
          <w:p>
            <w:pPr>
              <w:spacing w:after="0" w:before="0"/>
            </w:pPr>
            <w:r>
              <w:rPr>
                <w:rFonts w:ascii="Arial" w:cs="Arial" w:eastAsia="Arial" w:hAnsi="Arial"/>
                <w:color w:val="4A5568"/>
                <w:sz w:val="17"/>
                <w:szCs w:val="17"/>
              </w:rPr>
              <w:t xml:space="preserve">Tutela penale</w:t>
            </w:r>
          </w:p>
        </w:tc>
        <w:tc>
          <w:tcPr>
            <w:tcW w:type="dxa" w:w="2960"/>
            <w:tcBorders>
              <w:top w:val="single" w:color="D0D8E0" w:sz="1"/>
              <w:left w:val="single" w:color="D0D8E0" w:sz="1"/>
              <w:bottom w:val="single" w:color="D0D8E0" w:sz="1"/>
              <w:right w:val="single" w:color="D0D8E0" w:sz="1"/>
            </w:tcBorders>
            <w:shd w:fill="FFFFFF" w:val="clear"/>
            <w:tcMar>
              <w:top w:type="dxa" w:w="60"/>
              <w:left w:type="dxa" w:w="100"/>
              <w:bottom w:type="dxa" w:w="60"/>
              <w:right w:type="dxa" w:w="100"/>
            </w:tcMar>
          </w:tcPr>
          <w:p>
            <w:pPr>
              <w:spacing w:after="0" w:before="0"/>
            </w:pPr>
            <w:r>
              <w:rPr>
                <w:rFonts w:ascii="Courier New" w:cs="Courier New" w:eastAsia="Courier New" w:hAnsi="Courier New"/>
                <w:color w:val="006B6B"/>
                <w:sz w:val="15"/>
                <w:szCs w:val="15"/>
              </w:rPr>
              <w:t xml:space="preserve">Art. 167 D.Lgs. 196/2003; artt. 594–595 c.p.</w:t>
            </w:r>
          </w:p>
        </w:tc>
        <w:tc>
          <w:tcPr>
            <w:tcW w:type="dxa" w:w="2600"/>
            <w:tcBorders>
              <w:top w:val="single" w:color="D0D8E0" w:sz="1"/>
              <w:left w:val="single" w:color="D0D8E0" w:sz="1"/>
              <w:bottom w:val="single" w:color="D0D8E0" w:sz="1"/>
              <w:right w:val="single" w:color="D0D8E0" w:sz="1"/>
            </w:tcBorders>
            <w:shd w:fill="FFFFFF" w:val="clear"/>
            <w:tcMar>
              <w:top w:type="dxa" w:w="60"/>
              <w:left w:type="dxa" w:w="100"/>
              <w:bottom w:type="dxa" w:w="60"/>
              <w:right w:type="dxa" w:w="100"/>
            </w:tcMar>
          </w:tcPr>
          <w:p>
            <w:pPr>
              <w:spacing w:after="0" w:before="0"/>
            </w:pPr>
            <w:r>
              <w:rPr>
                <w:rFonts w:ascii="Arial" w:cs="Arial" w:eastAsia="Arial" w:hAnsi="Arial"/>
                <w:color w:val="4A5568"/>
                <w:sz w:val="17"/>
                <w:szCs w:val="17"/>
              </w:rPr>
              <w:t xml:space="preserve">Procura della Repubblica</w:t>
            </w:r>
          </w:p>
        </w:tc>
      </w:tr>
      <w:tr>
        <w:tc>
          <w:tcPr>
            <w:tcW w:type="dxa" w:w="500"/>
            <w:tcBorders>
              <w:top w:val="single" w:color="D0D8E0" w:sz="1"/>
              <w:left w:val="single" w:color="D0D8E0" w:sz="1"/>
              <w:bottom w:val="single" w:color="D0D8E0" w:sz="1"/>
              <w:right w:val="single" w:color="D0D8E0" w:sz="1"/>
            </w:tcBorders>
            <w:shd w:fill="F2F6FA" w:val="clear"/>
            <w:tcMar>
              <w:top w:type="dxa" w:w="60"/>
              <w:left w:type="dxa" w:w="100"/>
              <w:bottom w:type="dxa" w:w="60"/>
              <w:right w:type="dxa" w:w="100"/>
            </w:tcMar>
          </w:tcPr>
          <w:p>
            <w:pPr>
              <w:spacing w:after="0" w:before="0"/>
            </w:pPr>
            <w:r>
              <w:rPr>
                <w:rFonts w:ascii="Arial" w:cs="Arial" w:eastAsia="Arial" w:hAnsi="Arial"/>
                <w:b/>
                <w:bCs/>
                <w:color w:val="1A2E4A"/>
                <w:sz w:val="17"/>
                <w:szCs w:val="17"/>
              </w:rPr>
              <w:t xml:space="preserve">IX</w:t>
            </w:r>
          </w:p>
        </w:tc>
        <w:tc>
          <w:tcPr>
            <w:tcW w:type="dxa" w:w="3200"/>
            <w:tcBorders>
              <w:top w:val="single" w:color="D0D8E0" w:sz="1"/>
              <w:left w:val="single" w:color="D0D8E0" w:sz="1"/>
              <w:bottom w:val="single" w:color="D0D8E0" w:sz="1"/>
              <w:right w:val="single" w:color="D0D8E0" w:sz="1"/>
            </w:tcBorders>
            <w:shd w:fill="F2F6FA" w:val="clear"/>
            <w:tcMar>
              <w:top w:type="dxa" w:w="60"/>
              <w:left w:type="dxa" w:w="100"/>
              <w:bottom w:type="dxa" w:w="60"/>
              <w:right w:type="dxa" w:w="100"/>
            </w:tcMar>
          </w:tcPr>
          <w:p>
            <w:pPr>
              <w:spacing w:after="0" w:before="0"/>
            </w:pPr>
            <w:r>
              <w:rPr>
                <w:rFonts w:ascii="Arial" w:cs="Arial" w:eastAsia="Arial" w:hAnsi="Arial"/>
                <w:color w:val="4A5568"/>
                <w:sz w:val="17"/>
                <w:szCs w:val="17"/>
              </w:rPr>
              <w:t xml:space="preserve">Transazione e mediazione stragiudiziale</w:t>
            </w:r>
          </w:p>
        </w:tc>
        <w:tc>
          <w:tcPr>
            <w:tcW w:type="dxa" w:w="2960"/>
            <w:tcBorders>
              <w:top w:val="single" w:color="D0D8E0" w:sz="1"/>
              <w:left w:val="single" w:color="D0D8E0" w:sz="1"/>
              <w:bottom w:val="single" w:color="D0D8E0" w:sz="1"/>
              <w:right w:val="single" w:color="D0D8E0" w:sz="1"/>
            </w:tcBorders>
            <w:shd w:fill="F2F6FA" w:val="clear"/>
            <w:tcMar>
              <w:top w:type="dxa" w:w="60"/>
              <w:left w:type="dxa" w:w="100"/>
              <w:bottom w:type="dxa" w:w="60"/>
              <w:right w:type="dxa" w:w="100"/>
            </w:tcMar>
          </w:tcPr>
          <w:p>
            <w:pPr>
              <w:spacing w:after="0" w:before="0"/>
            </w:pPr>
            <w:r>
              <w:rPr>
                <w:rFonts w:ascii="Courier New" w:cs="Courier New" w:eastAsia="Courier New" w:hAnsi="Courier New"/>
                <w:color w:val="006B6B"/>
                <w:sz w:val="15"/>
                <w:szCs w:val="15"/>
              </w:rPr>
              <w:t xml:space="preserve">Art. 1965 c.c.; D.Lgs. 28/2010</w:t>
            </w:r>
          </w:p>
        </w:tc>
        <w:tc>
          <w:tcPr>
            <w:tcW w:type="dxa" w:w="2600"/>
            <w:tcBorders>
              <w:top w:val="single" w:color="D0D8E0" w:sz="1"/>
              <w:left w:val="single" w:color="D0D8E0" w:sz="1"/>
              <w:bottom w:val="single" w:color="D0D8E0" w:sz="1"/>
              <w:right w:val="single" w:color="D0D8E0" w:sz="1"/>
            </w:tcBorders>
            <w:shd w:fill="F2F6FA" w:val="clear"/>
            <w:tcMar>
              <w:top w:type="dxa" w:w="60"/>
              <w:left w:type="dxa" w:w="100"/>
              <w:bottom w:type="dxa" w:w="60"/>
              <w:right w:type="dxa" w:w="100"/>
            </w:tcMar>
          </w:tcPr>
          <w:p>
            <w:pPr>
              <w:spacing w:after="0" w:before="0"/>
            </w:pPr>
            <w:r>
              <w:rPr>
                <w:rFonts w:ascii="Arial" w:cs="Arial" w:eastAsia="Arial" w:hAnsi="Arial"/>
                <w:color w:val="4A5568"/>
                <w:sz w:val="17"/>
                <w:szCs w:val="17"/>
              </w:rPr>
              <w:t xml:space="preserve">Extragiudiziale</w:t>
            </w:r>
          </w:p>
        </w:tc>
      </w:tr>
    </w:tbl>
    <w:p>
      <w:pPr>
        <w:spacing w:after="0" w:before="200"/>
      </w:pPr>
    </w:p>
    <w:p>
      <w:r>
        <w:br w:type="page"/>
      </w:r>
    </w:p>
    <w:p>
      <w:pPr>
        <w:pStyle w:val="Heading1"/>
      </w:pPr>
      <w:r>
        <w:rPr>
          <w:rFonts w:ascii="Arial" w:cs="Arial" w:eastAsia="Arial" w:hAnsi="Arial"/>
          <w:b/>
          <w:bCs/>
          <w:color w:val="1A2E4A"/>
          <w:sz w:val="32"/>
          <w:szCs w:val="32"/>
        </w:rPr>
        <w:t xml:space="preserve">Analisi per voce</w:t>
      </w:r>
    </w:p>
    <w:p>
      <w:pPr>
        <w:spacing w:after="0" w:before="40"/>
      </w:pPr>
    </w:p>
    <w:tbl>
      <w:tblPr>
        <w:tblW w:type="dxa" w:w="9260"/>
        <w:tblBorders>
          <w:top w:val="single" w:color="auto" w:sz="4"/>
          <w:left w:val="single" w:color="auto" w:sz="4"/>
          <w:bottom w:val="single" w:color="auto" w:sz="4"/>
          <w:right w:val="single" w:color="auto" w:sz="4"/>
          <w:insideH w:val="single" w:color="auto" w:sz="4"/>
          <w:insideV w:val="single" w:color="auto" w:sz="4"/>
        </w:tblBorders>
      </w:tblPr>
      <w:tblGrid>
        <w:gridCol w:w="2400"/>
        <w:gridCol w:w="6860"/>
      </w:tblGrid>
      <w:tr>
        <w:tc>
          <w:tcPr>
            <w:tcW w:type="dxa" w:w="9260"/>
            <w:gridSpan w:val="2"/>
            <w:tcBorders>
              <w:top w:val="none" w:color="FFFFFF" w:sz="0"/>
              <w:left w:val="none" w:color="FFFFFF" w:sz="0"/>
              <w:bottom w:val="none" w:color="FFFFFF" w:sz="0"/>
              <w:right w:val="none" w:color="FFFFFF" w:sz="0"/>
            </w:tcBorders>
            <w:shd w:fill="006B6B" w:val="clear"/>
            <w:tcMar>
              <w:top w:type="dxa" w:w="80"/>
              <w:left w:type="dxa" w:w="140"/>
              <w:bottom w:type="dxa" w:w="80"/>
              <w:right w:type="dxa" w:w="140"/>
            </w:tcMar>
          </w:tcPr>
          <w:p>
            <w:pPr>
              <w:spacing w:after="0" w:before="0"/>
            </w:pPr>
            <w:r>
              <w:rPr>
                <w:rFonts w:ascii="Arial" w:cs="Arial" w:eastAsia="Arial" w:hAnsi="Arial"/>
                <w:b/>
                <w:bCs/>
                <w:color w:val="FFFFFF"/>
                <w:sz w:val="22"/>
                <w:szCs w:val="22"/>
              </w:rPr>
              <w:t xml:space="preserve">I  </w:t>
            </w:r>
            <w:r>
              <w:rPr>
                <w:rFonts w:ascii="Arial" w:cs="Arial" w:eastAsia="Arial" w:hAnsi="Arial"/>
                <w:b/>
                <w:bCs/>
                <w:color w:val="FFFFFF"/>
                <w:sz w:val="22"/>
                <w:szCs w:val="22"/>
              </w:rPr>
              <w:t xml:space="preserve">Danno patrimoniale da lesione del diritto all’immagine — Prezzo del consenso</w:t>
            </w:r>
          </w:p>
        </w:tc>
      </w:tr>
      <w:tr>
        <w:tc>
          <w:tcPr>
            <w:tcW w:type="dxa" w:w="2400"/>
            <w:tcBorders>
              <w:top w:val="single" w:color="D0D8E0" w:sz="1"/>
              <w:left w:val="single" w:color="D0D8E0" w:sz="1"/>
              <w:bottom w:val="single" w:color="D0D8E0" w:sz="1"/>
              <w:right w:val="single" w:color="D0D8E0" w:sz="1"/>
            </w:tcBorders>
            <w:shd w:fill="F2F6FA" w:val="clear"/>
            <w:tcMar>
              <w:top w:type="dxa" w:w="70"/>
              <w:left w:type="dxa" w:w="120"/>
              <w:bottom w:type="dxa" w:w="70"/>
              <w:right w:type="dxa" w:w="120"/>
            </w:tcMar>
            <w:vAlign w:val="top"/>
          </w:tcPr>
          <w:p>
            <w:pPr>
              <w:spacing w:after="0" w:before="0"/>
            </w:pPr>
            <w:r>
              <w:rPr>
                <w:rFonts w:ascii="Arial" w:cs="Arial" w:eastAsia="Arial" w:hAnsi="Arial"/>
                <w:b/>
                <w:bCs/>
                <w:color w:val="1A2E4A"/>
                <w:sz w:val="18"/>
                <w:szCs w:val="18"/>
              </w:rPr>
              <w:t xml:space="preserve">Fondamento sostanziale</w:t>
            </w:r>
          </w:p>
        </w:tc>
        <w:tc>
          <w:tcPr>
            <w:tcW w:type="dxa" w:w="6860"/>
            <w:tcBorders>
              <w:top w:val="single" w:color="D0D8E0" w:sz="1"/>
              <w:left w:val="single" w:color="D0D8E0" w:sz="1"/>
              <w:bottom w:val="single" w:color="D0D8E0" w:sz="1"/>
              <w:right w:val="single" w:color="D0D8E0" w:sz="1"/>
            </w:tcBorders>
            <w:tcMar>
              <w:top w:type="dxa" w:w="70"/>
              <w:left w:type="dxa" w:w="120"/>
              <w:bottom w:type="dxa" w:w="70"/>
              <w:right w:type="dxa" w:w="120"/>
            </w:tcMar>
            <w:vAlign w:val="top"/>
          </w:tcPr>
          <w:p>
            <w:pPr>
              <w:spacing w:after="40" w:before="0"/>
            </w:pPr>
            <w:r>
              <w:rPr>
                <w:rFonts w:ascii="Arial" w:cs="Arial" w:eastAsia="Arial" w:hAnsi="Arial"/>
                <w:color w:val="4A5568"/>
                <w:sz w:val="18"/>
                <w:szCs w:val="18"/>
              </w:rPr>
              <w:t xml:space="preserve">Art. 10 c.c.</w:t>
            </w:r>
          </w:p>
          <w:p>
            <w:pPr>
              <w:spacing w:after="40" w:before="0"/>
            </w:pPr>
            <w:r>
              <w:rPr>
                <w:rFonts w:ascii="Arial" w:cs="Arial" w:eastAsia="Arial" w:hAnsi="Arial"/>
                <w:color w:val="4A5568"/>
                <w:sz w:val="18"/>
                <w:szCs w:val="18"/>
              </w:rPr>
              <w:t xml:space="preserve">Artt. 96–97 L. 22 aprile 1941, n. 633 (diritto d’autore)</w:t>
            </w:r>
          </w:p>
          <w:p>
            <w:pPr>
              <w:spacing w:after="40" w:before="0"/>
            </w:pPr>
            <w:r>
              <w:rPr>
                <w:rFonts w:ascii="Arial" w:cs="Arial" w:eastAsia="Arial" w:hAnsi="Arial"/>
                <w:color w:val="4A5568"/>
                <w:sz w:val="18"/>
                <w:szCs w:val="18"/>
              </w:rPr>
              <w:t xml:space="preserve">Art. 158, co. 2, L. 633/1941 (parametri di liquidazione)</w:t>
            </w:r>
          </w:p>
          <w:p>
            <w:pPr>
              <w:spacing w:after="40" w:before="0"/>
            </w:pPr>
            <w:r>
              <w:rPr>
                <w:rFonts w:ascii="Arial" w:cs="Arial" w:eastAsia="Arial" w:hAnsi="Arial"/>
                <w:color w:val="4A5568"/>
                <w:sz w:val="18"/>
                <w:szCs w:val="18"/>
              </w:rPr>
              <w:t xml:space="preserve">Art. 2043 c.c. (responsabilità aquiliana)</w:t>
            </w:r>
          </w:p>
        </w:tc>
      </w:tr>
      <w:tr>
        <w:tc>
          <w:tcPr>
            <w:tcW w:type="dxa" w:w="2400"/>
            <w:tcBorders>
              <w:top w:val="single" w:color="D0D8E0" w:sz="1"/>
              <w:left w:val="single" w:color="D0D8E0" w:sz="1"/>
              <w:bottom w:val="single" w:color="D0D8E0" w:sz="1"/>
              <w:right w:val="single" w:color="D0D8E0" w:sz="1"/>
            </w:tcBorders>
            <w:shd w:fill="F2F6FA" w:val="clear"/>
            <w:tcMar>
              <w:top w:type="dxa" w:w="70"/>
              <w:left w:type="dxa" w:w="120"/>
              <w:bottom w:type="dxa" w:w="70"/>
              <w:right w:type="dxa" w:w="120"/>
            </w:tcMar>
            <w:vAlign w:val="top"/>
          </w:tcPr>
          <w:p>
            <w:pPr>
              <w:spacing w:after="0" w:before="0"/>
            </w:pPr>
            <w:r>
              <w:rPr>
                <w:rFonts w:ascii="Arial" w:cs="Arial" w:eastAsia="Arial" w:hAnsi="Arial"/>
                <w:b/>
                <w:bCs/>
                <w:color w:val="1A2E4A"/>
                <w:sz w:val="18"/>
                <w:szCs w:val="18"/>
              </w:rPr>
              <w:t xml:space="preserve">Contenuto del danno</w:t>
            </w:r>
          </w:p>
        </w:tc>
        <w:tc>
          <w:tcPr>
            <w:tcW w:type="dxa" w:w="6860"/>
            <w:tcBorders>
              <w:top w:val="single" w:color="D0D8E0" w:sz="1"/>
              <w:left w:val="single" w:color="D0D8E0" w:sz="1"/>
              <w:bottom w:val="single" w:color="D0D8E0" w:sz="1"/>
              <w:right w:val="single" w:color="D0D8E0" w:sz="1"/>
            </w:tcBorders>
            <w:tcMar>
              <w:top w:type="dxa" w:w="70"/>
              <w:left w:type="dxa" w:w="120"/>
              <w:bottom w:type="dxa" w:w="70"/>
              <w:right w:type="dxa" w:w="120"/>
            </w:tcMar>
            <w:vAlign w:val="top"/>
          </w:tcPr>
          <w:p>
            <w:pPr>
              <w:spacing w:after="40" w:before="0"/>
            </w:pPr>
            <w:r>
              <w:rPr>
                <w:rFonts w:ascii="Arial" w:cs="Arial" w:eastAsia="Arial" w:hAnsi="Arial"/>
                <w:color w:val="4A5568"/>
                <w:sz w:val="18"/>
                <w:szCs w:val="18"/>
              </w:rPr>
              <w:t xml:space="preserve">Somma corrispondente al compenso che il danneggiato avrebbe presumibilmente richiesto per concedere il consenso alla pubblicazione o all’uso non autorizzato dell’immagine/nome. Si liquida con riguardo al vantaggio economico conseguito dall’autore della violazione.</w:t>
            </w:r>
          </w:p>
        </w:tc>
      </w:tr>
      <w:tr>
        <w:tc>
          <w:tcPr>
            <w:tcW w:type="dxa" w:w="2400"/>
            <w:tcBorders>
              <w:top w:val="single" w:color="D0D8E0" w:sz="1"/>
              <w:left w:val="single" w:color="D0D8E0" w:sz="1"/>
              <w:bottom w:val="single" w:color="D0D8E0" w:sz="1"/>
              <w:right w:val="single" w:color="D0D8E0" w:sz="1"/>
            </w:tcBorders>
            <w:shd w:fill="F2F6FA" w:val="clear"/>
            <w:tcMar>
              <w:top w:type="dxa" w:w="70"/>
              <w:left w:type="dxa" w:w="120"/>
              <w:bottom w:type="dxa" w:w="70"/>
              <w:right w:type="dxa" w:w="120"/>
            </w:tcMar>
            <w:vAlign w:val="top"/>
          </w:tcPr>
          <w:p>
            <w:pPr>
              <w:spacing w:after="0" w:before="0"/>
            </w:pPr>
            <w:r>
              <w:rPr>
                <w:rFonts w:ascii="Arial" w:cs="Arial" w:eastAsia="Arial" w:hAnsi="Arial"/>
                <w:b/>
                <w:bCs/>
                <w:color w:val="1A2E4A"/>
                <w:sz w:val="18"/>
                <w:szCs w:val="18"/>
              </w:rPr>
              <w:t xml:space="preserve">Onere probatorio</w:t>
            </w:r>
          </w:p>
        </w:tc>
        <w:tc>
          <w:tcPr>
            <w:tcW w:type="dxa" w:w="6860"/>
            <w:tcBorders>
              <w:top w:val="single" w:color="D0D8E0" w:sz="1"/>
              <w:left w:val="single" w:color="D0D8E0" w:sz="1"/>
              <w:bottom w:val="single" w:color="D0D8E0" w:sz="1"/>
              <w:right w:val="single" w:color="D0D8E0" w:sz="1"/>
            </w:tcBorders>
            <w:tcMar>
              <w:top w:type="dxa" w:w="70"/>
              <w:left w:type="dxa" w:w="120"/>
              <w:bottom w:type="dxa" w:w="70"/>
              <w:right w:type="dxa" w:w="120"/>
            </w:tcMar>
            <w:vAlign w:val="top"/>
          </w:tcPr>
          <w:p>
            <w:pPr>
              <w:spacing w:after="40" w:before="0"/>
            </w:pPr>
            <w:r>
              <w:rPr>
                <w:rFonts w:ascii="Arial" w:cs="Arial" w:eastAsia="Arial" w:hAnsi="Arial"/>
                <w:color w:val="4A5568"/>
                <w:sz w:val="18"/>
                <w:szCs w:val="18"/>
              </w:rPr>
              <w:t xml:space="preserve">A carico dell’attore: prova dell’uso non autorizzato, dell’identità del soggetto riconoscibile, del contesto e dell’entità della diffusione (engagement, visualizzazioni, portata pubblicitaria stimata).</w:t>
            </w:r>
          </w:p>
        </w:tc>
      </w:tr>
      <w:tr>
        <w:tc>
          <w:tcPr>
            <w:tcW w:type="dxa" w:w="2400"/>
            <w:tcBorders>
              <w:top w:val="single" w:color="D0D8E0" w:sz="1"/>
              <w:left w:val="single" w:color="D0D8E0" w:sz="1"/>
              <w:bottom w:val="single" w:color="D0D8E0" w:sz="1"/>
              <w:right w:val="single" w:color="D0D8E0" w:sz="1"/>
            </w:tcBorders>
            <w:shd w:fill="F2F6FA" w:val="clear"/>
            <w:tcMar>
              <w:top w:type="dxa" w:w="70"/>
              <w:left w:type="dxa" w:w="120"/>
              <w:bottom w:type="dxa" w:w="70"/>
              <w:right w:type="dxa" w:w="120"/>
            </w:tcMar>
            <w:vAlign w:val="top"/>
          </w:tcPr>
          <w:p>
            <w:pPr>
              <w:spacing w:after="0" w:before="0"/>
            </w:pPr>
            <w:r>
              <w:rPr>
                <w:rFonts w:ascii="Arial" w:cs="Arial" w:eastAsia="Arial" w:hAnsi="Arial"/>
                <w:b/>
                <w:bCs/>
                <w:color w:val="1A2E4A"/>
                <w:sz w:val="18"/>
                <w:szCs w:val="18"/>
              </w:rPr>
              <w:t xml:space="preserve">Liquidazione</w:t>
            </w:r>
          </w:p>
        </w:tc>
        <w:tc>
          <w:tcPr>
            <w:tcW w:type="dxa" w:w="6860"/>
            <w:tcBorders>
              <w:top w:val="single" w:color="D0D8E0" w:sz="1"/>
              <w:left w:val="single" w:color="D0D8E0" w:sz="1"/>
              <w:bottom w:val="single" w:color="D0D8E0" w:sz="1"/>
              <w:right w:val="single" w:color="D0D8E0" w:sz="1"/>
            </w:tcBorders>
            <w:tcMar>
              <w:top w:type="dxa" w:w="70"/>
              <w:left w:type="dxa" w:w="120"/>
              <w:bottom w:type="dxa" w:w="70"/>
              <w:right w:type="dxa" w:w="120"/>
            </w:tcMar>
            <w:vAlign w:val="top"/>
          </w:tcPr>
          <w:p>
            <w:pPr>
              <w:spacing w:after="40" w:before="0"/>
            </w:pPr>
            <w:r>
              <w:rPr>
                <w:rFonts w:ascii="Arial" w:cs="Arial" w:eastAsia="Arial" w:hAnsi="Arial"/>
                <w:color w:val="4A5568"/>
                <w:sz w:val="18"/>
                <w:szCs w:val="18"/>
              </w:rPr>
              <w:t xml:space="preserve">Equitativa ex art. 1226 c.c., con riferimento a tariffe di mercato per prestazioni analoghe (testimonial, endorsement, uso commerciale di immagine).</w:t>
            </w:r>
          </w:p>
        </w:tc>
      </w:tr>
      <w:tr>
        <w:tc>
          <w:tcPr>
            <w:tcW w:type="dxa" w:w="2400"/>
            <w:tcBorders>
              <w:top w:val="single" w:color="D0D8E0" w:sz="1"/>
              <w:left w:val="single" w:color="D0D8E0" w:sz="1"/>
              <w:bottom w:val="single" w:color="D0D8E0" w:sz="1"/>
              <w:right w:val="single" w:color="D0D8E0" w:sz="1"/>
            </w:tcBorders>
            <w:shd w:fill="F2F6FA" w:val="clear"/>
            <w:tcMar>
              <w:top w:type="dxa" w:w="70"/>
              <w:left w:type="dxa" w:w="120"/>
              <w:bottom w:type="dxa" w:w="70"/>
              <w:right w:type="dxa" w:w="120"/>
            </w:tcMar>
            <w:vAlign w:val="top"/>
          </w:tcPr>
          <w:p>
            <w:pPr>
              <w:spacing w:after="0" w:before="0"/>
            </w:pPr>
            <w:r>
              <w:rPr>
                <w:rFonts w:ascii="Arial" w:cs="Arial" w:eastAsia="Arial" w:hAnsi="Arial"/>
                <w:b/>
                <w:bCs/>
                <w:color w:val="1A2E4A"/>
                <w:sz w:val="18"/>
                <w:szCs w:val="18"/>
              </w:rPr>
              <w:t xml:space="preserve">Sede e rito</w:t>
            </w:r>
          </w:p>
        </w:tc>
        <w:tc>
          <w:tcPr>
            <w:tcW w:type="dxa" w:w="6860"/>
            <w:tcBorders>
              <w:top w:val="single" w:color="D0D8E0" w:sz="1"/>
              <w:left w:val="single" w:color="D0D8E0" w:sz="1"/>
              <w:bottom w:val="single" w:color="D0D8E0" w:sz="1"/>
              <w:right w:val="single" w:color="D0D8E0" w:sz="1"/>
            </w:tcBorders>
            <w:tcMar>
              <w:top w:type="dxa" w:w="70"/>
              <w:left w:type="dxa" w:w="120"/>
              <w:bottom w:type="dxa" w:w="70"/>
              <w:right w:type="dxa" w:w="120"/>
            </w:tcMar>
            <w:vAlign w:val="top"/>
          </w:tcPr>
          <w:p>
            <w:pPr>
              <w:spacing w:after="40" w:before="0"/>
            </w:pPr>
            <w:r>
              <w:rPr>
                <w:rFonts w:ascii="Arial" w:cs="Arial" w:eastAsia="Arial" w:hAnsi="Arial"/>
                <w:color w:val="4A5568"/>
                <w:sz w:val="18"/>
                <w:szCs w:val="18"/>
              </w:rPr>
              <w:t xml:space="preserve">Tribunale civile, composizione monocratica. Rito ordinario (art. 281-bis ss. c.p.c.) se azionato autonomamente; rito del lavoro ex art. 10 D.Lgs. 150/2011 se cumulato con domanda GDPR.</w:t>
            </w:r>
          </w:p>
        </w:tc>
      </w:tr>
      <w:tr>
        <w:tc>
          <w:tcPr>
            <w:tcW w:type="dxa" w:w="2400"/>
            <w:tcBorders>
              <w:top w:val="single" w:color="D0D8E0" w:sz="1"/>
              <w:left w:val="single" w:color="D0D8E0" w:sz="1"/>
              <w:bottom w:val="single" w:color="D0D8E0" w:sz="1"/>
              <w:right w:val="single" w:color="D0D8E0" w:sz="1"/>
            </w:tcBorders>
            <w:shd w:fill="F2F6FA" w:val="clear"/>
            <w:tcMar>
              <w:top w:type="dxa" w:w="70"/>
              <w:left w:type="dxa" w:w="120"/>
              <w:bottom w:type="dxa" w:w="70"/>
              <w:right w:type="dxa" w:w="120"/>
            </w:tcMar>
            <w:vAlign w:val="top"/>
          </w:tcPr>
          <w:p>
            <w:pPr>
              <w:spacing w:after="0" w:before="0"/>
            </w:pPr>
            <w:r>
              <w:rPr>
                <w:rFonts w:ascii="Arial" w:cs="Arial" w:eastAsia="Arial" w:hAnsi="Arial"/>
                <w:b/>
                <w:bCs/>
                <w:color w:val="1A2E4A"/>
                <w:sz w:val="18"/>
                <w:szCs w:val="18"/>
              </w:rPr>
              <w:t xml:space="preserve">Giurisprudenza chiave</w:t>
            </w:r>
          </w:p>
        </w:tc>
        <w:tc>
          <w:tcPr>
            <w:tcW w:type="dxa" w:w="6860"/>
            <w:tcBorders>
              <w:top w:val="single" w:color="D0D8E0" w:sz="1"/>
              <w:left w:val="single" w:color="D0D8E0" w:sz="1"/>
              <w:bottom w:val="single" w:color="D0D8E0" w:sz="1"/>
              <w:right w:val="single" w:color="D0D8E0" w:sz="1"/>
            </w:tcBorders>
            <w:tcMar>
              <w:top w:type="dxa" w:w="70"/>
              <w:left w:type="dxa" w:w="120"/>
              <w:bottom w:type="dxa" w:w="70"/>
              <w:right w:type="dxa" w:w="120"/>
            </w:tcMar>
            <w:vAlign w:val="top"/>
          </w:tcPr>
          <w:p>
            <w:pPr>
              <w:spacing w:after="40" w:before="0"/>
            </w:pPr>
            <w:r>
              <w:rPr>
                <w:rFonts w:ascii="Arial" w:cs="Arial" w:eastAsia="Arial" w:hAnsi="Arial"/>
                <w:color w:val="4A5568"/>
                <w:sz w:val="18"/>
                <w:szCs w:val="18"/>
              </w:rPr>
              <w:t xml:space="preserve">Cass. civ., Sez. III, ord. 12 aprile 2022, n. 11768</w:t>
            </w:r>
          </w:p>
          <w:p>
            <w:pPr>
              <w:spacing w:after="40" w:before="0"/>
            </w:pPr>
            <w:r>
              <w:rPr>
                <w:rFonts w:ascii="Arial" w:cs="Arial" w:eastAsia="Arial" w:hAnsi="Arial"/>
                <w:color w:val="4A5568"/>
                <w:sz w:val="18"/>
                <w:szCs w:val="18"/>
              </w:rPr>
              <w:t xml:space="preserve">Cass. civ., Sez. I, 23 gennaio 2019, n. 1875</w:t>
            </w:r>
          </w:p>
          <w:p>
            <w:pPr>
              <w:spacing w:after="40" w:before="0"/>
            </w:pPr>
            <w:r>
              <w:rPr>
                <w:rFonts w:ascii="Arial" w:cs="Arial" w:eastAsia="Arial" w:hAnsi="Arial"/>
                <w:color w:val="4A5568"/>
                <w:sz w:val="18"/>
                <w:szCs w:val="18"/>
              </w:rPr>
              <w:t xml:space="preserve">Cass. civ., Sez. III, n. 12433/2008</w:t>
            </w:r>
          </w:p>
        </w:tc>
      </w:tr>
    </w:tbl>
    <w:p>
      <w:pPr>
        <w:spacing w:after="0" w:before="120"/>
      </w:pPr>
    </w:p>
    <w:tbl>
      <w:tblPr>
        <w:tblW w:type="dxa" w:w="9260"/>
        <w:tblBorders>
          <w:top w:val="single" w:color="auto" w:sz="4"/>
          <w:left w:val="single" w:color="auto" w:sz="4"/>
          <w:bottom w:val="single" w:color="auto" w:sz="4"/>
          <w:right w:val="single" w:color="auto" w:sz="4"/>
          <w:insideH w:val="single" w:color="auto" w:sz="4"/>
          <w:insideV w:val="single" w:color="auto" w:sz="4"/>
        </w:tblBorders>
      </w:tblPr>
      <w:tblGrid>
        <w:gridCol w:w="2400"/>
        <w:gridCol w:w="6860"/>
      </w:tblGrid>
      <w:tr>
        <w:tc>
          <w:tcPr>
            <w:tcW w:type="dxa" w:w="9260"/>
            <w:gridSpan w:val="2"/>
            <w:tcBorders>
              <w:top w:val="none" w:color="FFFFFF" w:sz="0"/>
              <w:left w:val="none" w:color="FFFFFF" w:sz="0"/>
              <w:bottom w:val="none" w:color="FFFFFF" w:sz="0"/>
              <w:right w:val="none" w:color="FFFFFF" w:sz="0"/>
            </w:tcBorders>
            <w:shd w:fill="1A2E4A" w:val="clear"/>
            <w:tcMar>
              <w:top w:type="dxa" w:w="80"/>
              <w:left w:type="dxa" w:w="140"/>
              <w:bottom w:type="dxa" w:w="80"/>
              <w:right w:type="dxa" w:w="140"/>
            </w:tcMar>
          </w:tcPr>
          <w:p>
            <w:pPr>
              <w:spacing w:after="0" w:before="0"/>
            </w:pPr>
            <w:r>
              <w:rPr>
                <w:rFonts w:ascii="Arial" w:cs="Arial" w:eastAsia="Arial" w:hAnsi="Arial"/>
                <w:b/>
                <w:bCs/>
                <w:color w:val="FFFFFF"/>
                <w:sz w:val="22"/>
                <w:szCs w:val="22"/>
              </w:rPr>
              <w:t xml:space="preserve">II  </w:t>
            </w:r>
            <w:r>
              <w:rPr>
                <w:rFonts w:ascii="Arial" w:cs="Arial" w:eastAsia="Arial" w:hAnsi="Arial"/>
                <w:b/>
                <w:bCs/>
                <w:color w:val="FFFFFF"/>
                <w:sz w:val="22"/>
                <w:szCs w:val="22"/>
              </w:rPr>
              <w:t xml:space="preserve">Danno non patrimoniale — Morale, esistenziale e da frustrazione della scelta riservata</w:t>
            </w:r>
          </w:p>
        </w:tc>
      </w:tr>
      <w:tr>
        <w:tc>
          <w:tcPr>
            <w:tcW w:type="dxa" w:w="2400"/>
            <w:tcBorders>
              <w:top w:val="single" w:color="D0D8E0" w:sz="1"/>
              <w:left w:val="single" w:color="D0D8E0" w:sz="1"/>
              <w:bottom w:val="single" w:color="D0D8E0" w:sz="1"/>
              <w:right w:val="single" w:color="D0D8E0" w:sz="1"/>
            </w:tcBorders>
            <w:shd w:fill="F2F6FA" w:val="clear"/>
            <w:tcMar>
              <w:top w:type="dxa" w:w="70"/>
              <w:left w:type="dxa" w:w="120"/>
              <w:bottom w:type="dxa" w:w="70"/>
              <w:right w:type="dxa" w:w="120"/>
            </w:tcMar>
            <w:vAlign w:val="top"/>
          </w:tcPr>
          <w:p>
            <w:pPr>
              <w:spacing w:after="0" w:before="0"/>
            </w:pPr>
            <w:r>
              <w:rPr>
                <w:rFonts w:ascii="Arial" w:cs="Arial" w:eastAsia="Arial" w:hAnsi="Arial"/>
                <w:b/>
                <w:bCs/>
                <w:color w:val="1A2E4A"/>
                <w:sz w:val="18"/>
                <w:szCs w:val="18"/>
              </w:rPr>
              <w:t xml:space="preserve">Fondamento sostanziale</w:t>
            </w:r>
          </w:p>
        </w:tc>
        <w:tc>
          <w:tcPr>
            <w:tcW w:type="dxa" w:w="6860"/>
            <w:tcBorders>
              <w:top w:val="single" w:color="D0D8E0" w:sz="1"/>
              <w:left w:val="single" w:color="D0D8E0" w:sz="1"/>
              <w:bottom w:val="single" w:color="D0D8E0" w:sz="1"/>
              <w:right w:val="single" w:color="D0D8E0" w:sz="1"/>
            </w:tcBorders>
            <w:tcMar>
              <w:top w:type="dxa" w:w="70"/>
              <w:left w:type="dxa" w:w="120"/>
              <w:bottom w:type="dxa" w:w="70"/>
              <w:right w:type="dxa" w:w="120"/>
            </w:tcMar>
            <w:vAlign w:val="top"/>
          </w:tcPr>
          <w:p>
            <w:pPr>
              <w:spacing w:after="40" w:before="0"/>
            </w:pPr>
            <w:r>
              <w:rPr>
                <w:rFonts w:ascii="Arial" w:cs="Arial" w:eastAsia="Arial" w:hAnsi="Arial"/>
                <w:color w:val="4A5568"/>
                <w:sz w:val="18"/>
                <w:szCs w:val="18"/>
              </w:rPr>
              <w:t xml:space="preserve">Art. 2059 c.c. (danni non patrimoniali)</w:t>
            </w:r>
          </w:p>
          <w:p>
            <w:pPr>
              <w:spacing w:after="40" w:before="0"/>
            </w:pPr>
            <w:r>
              <w:rPr>
                <w:rFonts w:ascii="Arial" w:cs="Arial" w:eastAsia="Arial" w:hAnsi="Arial"/>
                <w:color w:val="4A5568"/>
                <w:sz w:val="18"/>
                <w:szCs w:val="18"/>
              </w:rPr>
              <w:t xml:space="preserve">Art. 10 c.c. (diritto all’immagine)</w:t>
            </w:r>
          </w:p>
          <w:p>
            <w:pPr>
              <w:spacing w:after="40" w:before="0"/>
            </w:pPr>
            <w:r>
              <w:rPr>
                <w:rFonts w:ascii="Arial" w:cs="Arial" w:eastAsia="Arial" w:hAnsi="Arial"/>
                <w:color w:val="4A5568"/>
                <w:sz w:val="18"/>
                <w:szCs w:val="18"/>
              </w:rPr>
              <w:t xml:space="preserve">Artt. 2 e 21 Cost. (libertà personale e di scelta)</w:t>
            </w:r>
          </w:p>
          <w:p>
            <w:pPr>
              <w:spacing w:after="40" w:before="0"/>
            </w:pPr>
            <w:r>
              <w:rPr>
                <w:rFonts w:ascii="Arial" w:cs="Arial" w:eastAsia="Arial" w:hAnsi="Arial"/>
                <w:color w:val="4A5568"/>
                <w:sz w:val="18"/>
                <w:szCs w:val="18"/>
              </w:rPr>
              <w:t xml:space="preserve">Art. 8 CEDU (vita privata e familiare)</w:t>
            </w:r>
          </w:p>
          <w:p>
            <w:pPr>
              <w:spacing w:after="40" w:before="0"/>
            </w:pPr>
            <w:r>
              <w:rPr>
                <w:rFonts w:ascii="Arial" w:cs="Arial" w:eastAsia="Arial" w:hAnsi="Arial"/>
                <w:color w:val="4A5568"/>
                <w:sz w:val="18"/>
                <w:szCs w:val="18"/>
              </w:rPr>
              <w:t xml:space="preserve">Art. 82 Reg. UE 2016/679 (danno immateriale GDPR)</w:t>
            </w:r>
          </w:p>
        </w:tc>
      </w:tr>
      <w:tr>
        <w:tc>
          <w:tcPr>
            <w:tcW w:type="dxa" w:w="2400"/>
            <w:tcBorders>
              <w:top w:val="single" w:color="D0D8E0" w:sz="1"/>
              <w:left w:val="single" w:color="D0D8E0" w:sz="1"/>
              <w:bottom w:val="single" w:color="D0D8E0" w:sz="1"/>
              <w:right w:val="single" w:color="D0D8E0" w:sz="1"/>
            </w:tcBorders>
            <w:shd w:fill="F2F6FA" w:val="clear"/>
            <w:tcMar>
              <w:top w:type="dxa" w:w="70"/>
              <w:left w:type="dxa" w:w="120"/>
              <w:bottom w:type="dxa" w:w="70"/>
              <w:right w:type="dxa" w:w="120"/>
            </w:tcMar>
            <w:vAlign w:val="top"/>
          </w:tcPr>
          <w:p>
            <w:pPr>
              <w:spacing w:after="0" w:before="0"/>
            </w:pPr>
            <w:r>
              <w:rPr>
                <w:rFonts w:ascii="Arial" w:cs="Arial" w:eastAsia="Arial" w:hAnsi="Arial"/>
                <w:b/>
                <w:bCs/>
                <w:color w:val="1A2E4A"/>
                <w:sz w:val="18"/>
                <w:szCs w:val="18"/>
              </w:rPr>
              <w:t xml:space="preserve">Contenuto del danno</w:t>
            </w:r>
          </w:p>
        </w:tc>
        <w:tc>
          <w:tcPr>
            <w:tcW w:type="dxa" w:w="6860"/>
            <w:tcBorders>
              <w:top w:val="single" w:color="D0D8E0" w:sz="1"/>
              <w:left w:val="single" w:color="D0D8E0" w:sz="1"/>
              <w:bottom w:val="single" w:color="D0D8E0" w:sz="1"/>
              <w:right w:val="single" w:color="D0D8E0" w:sz="1"/>
            </w:tcBorders>
            <w:tcMar>
              <w:top w:type="dxa" w:w="70"/>
              <w:left w:type="dxa" w:w="120"/>
              <w:bottom w:type="dxa" w:w="70"/>
              <w:right w:type="dxa" w:w="120"/>
            </w:tcMar>
            <w:vAlign w:val="top"/>
          </w:tcPr>
          <w:p>
            <w:pPr>
              <w:spacing w:after="40" w:before="0"/>
            </w:pPr>
            <w:r>
              <w:rPr>
                <w:rFonts w:ascii="Arial" w:cs="Arial" w:eastAsia="Arial" w:hAnsi="Arial"/>
                <w:color w:val="4A5568"/>
                <w:sz w:val="18"/>
                <w:szCs w:val="18"/>
              </w:rPr>
              <w:t xml:space="preserve">Disagio, imbarazzo, sofferenza morale, frustrazione della scelta di riservatezza consapevolmente compiuta dall’interessato. Include la c.d. “perdita della scelta riservata” come autonoma voce esistenziale.</w:t>
            </w:r>
          </w:p>
        </w:tc>
      </w:tr>
      <w:tr>
        <w:tc>
          <w:tcPr>
            <w:tcW w:type="dxa" w:w="2400"/>
            <w:tcBorders>
              <w:top w:val="single" w:color="D0D8E0" w:sz="1"/>
              <w:left w:val="single" w:color="D0D8E0" w:sz="1"/>
              <w:bottom w:val="single" w:color="D0D8E0" w:sz="1"/>
              <w:right w:val="single" w:color="D0D8E0" w:sz="1"/>
            </w:tcBorders>
            <w:shd w:fill="F2F6FA" w:val="clear"/>
            <w:tcMar>
              <w:top w:type="dxa" w:w="70"/>
              <w:left w:type="dxa" w:w="120"/>
              <w:bottom w:type="dxa" w:w="70"/>
              <w:right w:type="dxa" w:w="120"/>
            </w:tcMar>
            <w:vAlign w:val="top"/>
          </w:tcPr>
          <w:p>
            <w:pPr>
              <w:spacing w:after="0" w:before="0"/>
            </w:pPr>
            <w:r>
              <w:rPr>
                <w:rFonts w:ascii="Arial" w:cs="Arial" w:eastAsia="Arial" w:hAnsi="Arial"/>
                <w:b/>
                <w:bCs/>
                <w:color w:val="1A2E4A"/>
                <w:sz w:val="18"/>
                <w:szCs w:val="18"/>
              </w:rPr>
              <w:t xml:space="preserve">Presupposti</w:t>
            </w:r>
          </w:p>
        </w:tc>
        <w:tc>
          <w:tcPr>
            <w:tcW w:type="dxa" w:w="6860"/>
            <w:tcBorders>
              <w:top w:val="single" w:color="D0D8E0" w:sz="1"/>
              <w:left w:val="single" w:color="D0D8E0" w:sz="1"/>
              <w:bottom w:val="single" w:color="D0D8E0" w:sz="1"/>
              <w:right w:val="single" w:color="D0D8E0" w:sz="1"/>
            </w:tcBorders>
            <w:tcMar>
              <w:top w:type="dxa" w:w="70"/>
              <w:left w:type="dxa" w:w="120"/>
              <w:bottom w:type="dxa" w:w="70"/>
              <w:right w:type="dxa" w:w="120"/>
            </w:tcMar>
            <w:vAlign w:val="top"/>
          </w:tcPr>
          <w:p>
            <w:pPr>
              <w:spacing w:after="40" w:before="0"/>
            </w:pPr>
            <w:r>
              <w:rPr>
                <w:rFonts w:ascii="Arial" w:cs="Arial" w:eastAsia="Arial" w:hAnsi="Arial"/>
                <w:color w:val="4A5568"/>
                <w:sz w:val="18"/>
                <w:szCs w:val="18"/>
              </w:rPr>
              <w:t xml:space="preserve">Superamento della soglia di gravità della lesione e di serietà del danno (Cass. SS.UU. 26972/2008 — San Martino). Allegazione concreta del pregiudizio soggettivo; non è liquidabile in re ipsa.</w:t>
            </w:r>
          </w:p>
        </w:tc>
      </w:tr>
      <w:tr>
        <w:tc>
          <w:tcPr>
            <w:tcW w:type="dxa" w:w="2400"/>
            <w:tcBorders>
              <w:top w:val="single" w:color="D0D8E0" w:sz="1"/>
              <w:left w:val="single" w:color="D0D8E0" w:sz="1"/>
              <w:bottom w:val="single" w:color="D0D8E0" w:sz="1"/>
              <w:right w:val="single" w:color="D0D8E0" w:sz="1"/>
            </w:tcBorders>
            <w:shd w:fill="F2F6FA" w:val="clear"/>
            <w:tcMar>
              <w:top w:type="dxa" w:w="70"/>
              <w:left w:type="dxa" w:w="120"/>
              <w:bottom w:type="dxa" w:w="70"/>
              <w:right w:type="dxa" w:w="120"/>
            </w:tcMar>
            <w:vAlign w:val="top"/>
          </w:tcPr>
          <w:p>
            <w:pPr>
              <w:spacing w:after="0" w:before="0"/>
            </w:pPr>
            <w:r>
              <w:rPr>
                <w:rFonts w:ascii="Arial" w:cs="Arial" w:eastAsia="Arial" w:hAnsi="Arial"/>
                <w:b/>
                <w:bCs/>
                <w:color w:val="1A2E4A"/>
                <w:sz w:val="18"/>
                <w:szCs w:val="18"/>
              </w:rPr>
              <w:t xml:space="preserve">Liquidazione</w:t>
            </w:r>
          </w:p>
        </w:tc>
        <w:tc>
          <w:tcPr>
            <w:tcW w:type="dxa" w:w="6860"/>
            <w:tcBorders>
              <w:top w:val="single" w:color="D0D8E0" w:sz="1"/>
              <w:left w:val="single" w:color="D0D8E0" w:sz="1"/>
              <w:bottom w:val="single" w:color="D0D8E0" w:sz="1"/>
              <w:right w:val="single" w:color="D0D8E0" w:sz="1"/>
            </w:tcBorders>
            <w:tcMar>
              <w:top w:type="dxa" w:w="70"/>
              <w:left w:type="dxa" w:w="120"/>
              <w:bottom w:type="dxa" w:w="70"/>
              <w:right w:type="dxa" w:w="120"/>
            </w:tcMar>
            <w:vAlign w:val="top"/>
          </w:tcPr>
          <w:p>
            <w:pPr>
              <w:spacing w:after="40" w:before="0"/>
            </w:pPr>
            <w:r>
              <w:rPr>
                <w:rFonts w:ascii="Arial" w:cs="Arial" w:eastAsia="Arial" w:hAnsi="Arial"/>
                <w:color w:val="4A5568"/>
                <w:sz w:val="18"/>
                <w:szCs w:val="18"/>
              </w:rPr>
              <w:t xml:space="preserve">Equitativa ex art. 1226 c.c. Personalizzazione necessaria in base alla durata dell’esposizione, alla diffusione del contenuto, alla qualità del contesto (familiare, intimo, professionale) e alla reazione emotiva documentata.</w:t>
            </w:r>
          </w:p>
        </w:tc>
      </w:tr>
      <w:tr>
        <w:tc>
          <w:tcPr>
            <w:tcW w:type="dxa" w:w="2400"/>
            <w:tcBorders>
              <w:top w:val="single" w:color="D0D8E0" w:sz="1"/>
              <w:left w:val="single" w:color="D0D8E0" w:sz="1"/>
              <w:bottom w:val="single" w:color="D0D8E0" w:sz="1"/>
              <w:right w:val="single" w:color="D0D8E0" w:sz="1"/>
            </w:tcBorders>
            <w:shd w:fill="F2F6FA" w:val="clear"/>
            <w:tcMar>
              <w:top w:type="dxa" w:w="70"/>
              <w:left w:type="dxa" w:w="120"/>
              <w:bottom w:type="dxa" w:w="70"/>
              <w:right w:type="dxa" w:w="120"/>
            </w:tcMar>
            <w:vAlign w:val="top"/>
          </w:tcPr>
          <w:p>
            <w:pPr>
              <w:spacing w:after="0" w:before="0"/>
            </w:pPr>
            <w:r>
              <w:rPr>
                <w:rFonts w:ascii="Arial" w:cs="Arial" w:eastAsia="Arial" w:hAnsi="Arial"/>
                <w:b/>
                <w:bCs/>
                <w:color w:val="1A2E4A"/>
                <w:sz w:val="18"/>
                <w:szCs w:val="18"/>
              </w:rPr>
              <w:t xml:space="preserve">Sede e rito</w:t>
            </w:r>
          </w:p>
        </w:tc>
        <w:tc>
          <w:tcPr>
            <w:tcW w:type="dxa" w:w="6860"/>
            <w:tcBorders>
              <w:top w:val="single" w:color="D0D8E0" w:sz="1"/>
              <w:left w:val="single" w:color="D0D8E0" w:sz="1"/>
              <w:bottom w:val="single" w:color="D0D8E0" w:sz="1"/>
              <w:right w:val="single" w:color="D0D8E0" w:sz="1"/>
            </w:tcBorders>
            <w:tcMar>
              <w:top w:type="dxa" w:w="70"/>
              <w:left w:type="dxa" w:w="120"/>
              <w:bottom w:type="dxa" w:w="70"/>
              <w:right w:type="dxa" w:w="120"/>
            </w:tcMar>
            <w:vAlign w:val="top"/>
          </w:tcPr>
          <w:p>
            <w:pPr>
              <w:spacing w:after="40" w:before="0"/>
            </w:pPr>
            <w:r>
              <w:rPr>
                <w:rFonts w:ascii="Arial" w:cs="Arial" w:eastAsia="Arial" w:hAnsi="Arial"/>
                <w:color w:val="4A5568"/>
                <w:sz w:val="18"/>
                <w:szCs w:val="18"/>
              </w:rPr>
              <w:t xml:space="preserve">Tribunale civile. Rito del lavoro ex art. 10 D.Lgs. 150/2011 se cumulato con domanda GDPR.</w:t>
            </w:r>
          </w:p>
        </w:tc>
      </w:tr>
      <w:tr>
        <w:tc>
          <w:tcPr>
            <w:tcW w:type="dxa" w:w="2400"/>
            <w:tcBorders>
              <w:top w:val="single" w:color="D0D8E0" w:sz="1"/>
              <w:left w:val="single" w:color="D0D8E0" w:sz="1"/>
              <w:bottom w:val="single" w:color="D0D8E0" w:sz="1"/>
              <w:right w:val="single" w:color="D0D8E0" w:sz="1"/>
            </w:tcBorders>
            <w:shd w:fill="F2F6FA" w:val="clear"/>
            <w:tcMar>
              <w:top w:type="dxa" w:w="70"/>
              <w:left w:type="dxa" w:w="120"/>
              <w:bottom w:type="dxa" w:w="70"/>
              <w:right w:type="dxa" w:w="120"/>
            </w:tcMar>
            <w:vAlign w:val="top"/>
          </w:tcPr>
          <w:p>
            <w:pPr>
              <w:spacing w:after="0" w:before="0"/>
            </w:pPr>
            <w:r>
              <w:rPr>
                <w:rFonts w:ascii="Arial" w:cs="Arial" w:eastAsia="Arial" w:hAnsi="Arial"/>
                <w:b/>
                <w:bCs/>
                <w:color w:val="1A2E4A"/>
                <w:sz w:val="18"/>
                <w:szCs w:val="18"/>
              </w:rPr>
              <w:t xml:space="preserve">Giurisprudenza chiave</w:t>
            </w:r>
          </w:p>
        </w:tc>
        <w:tc>
          <w:tcPr>
            <w:tcW w:type="dxa" w:w="6860"/>
            <w:tcBorders>
              <w:top w:val="single" w:color="D0D8E0" w:sz="1"/>
              <w:left w:val="single" w:color="D0D8E0" w:sz="1"/>
              <w:bottom w:val="single" w:color="D0D8E0" w:sz="1"/>
              <w:right w:val="single" w:color="D0D8E0" w:sz="1"/>
            </w:tcBorders>
            <w:tcMar>
              <w:top w:type="dxa" w:w="70"/>
              <w:left w:type="dxa" w:w="120"/>
              <w:bottom w:type="dxa" w:w="70"/>
              <w:right w:type="dxa" w:w="120"/>
            </w:tcMar>
            <w:vAlign w:val="top"/>
          </w:tcPr>
          <w:p>
            <w:pPr>
              <w:spacing w:after="40" w:before="0"/>
            </w:pPr>
            <w:r>
              <w:rPr>
                <w:rFonts w:ascii="Arial" w:cs="Arial" w:eastAsia="Arial" w:hAnsi="Arial"/>
                <w:color w:val="4A5568"/>
                <w:sz w:val="18"/>
                <w:szCs w:val="18"/>
              </w:rPr>
              <w:t xml:space="preserve">Cass. civ., Sez. I, ord. 30 gennaio 2023, n. 2685</w:t>
            </w:r>
          </w:p>
          <w:p>
            <w:pPr>
              <w:spacing w:after="40" w:before="0"/>
            </w:pPr>
            <w:r>
              <w:rPr>
                <w:rFonts w:ascii="Arial" w:cs="Arial" w:eastAsia="Arial" w:hAnsi="Arial"/>
                <w:color w:val="4A5568"/>
                <w:sz w:val="18"/>
                <w:szCs w:val="18"/>
              </w:rPr>
              <w:t xml:space="preserve">Cass. civ., Sez. III, ord. 16 aprile 2024, n. 10155</w:t>
            </w:r>
          </w:p>
          <w:p>
            <w:pPr>
              <w:spacing w:after="40" w:before="0"/>
            </w:pPr>
            <w:r>
              <w:rPr>
                <w:rFonts w:ascii="Arial" w:cs="Arial" w:eastAsia="Arial" w:hAnsi="Arial"/>
                <w:color w:val="4A5568"/>
                <w:sz w:val="18"/>
                <w:szCs w:val="18"/>
              </w:rPr>
              <w:t xml:space="preserve">Cass. civ., Sez. Un., 11 novembre 2008, n. 26972 (San Martino)</w:t>
            </w:r>
          </w:p>
        </w:tc>
      </w:tr>
    </w:tbl>
    <w:p>
      <w:pPr>
        <w:spacing w:after="0" w:before="120"/>
      </w:pPr>
    </w:p>
    <w:tbl>
      <w:tblPr>
        <w:tblW w:type="dxa" w:w="9260"/>
        <w:tblBorders>
          <w:top w:val="single" w:color="auto" w:sz="4"/>
          <w:left w:val="single" w:color="auto" w:sz="4"/>
          <w:bottom w:val="single" w:color="auto" w:sz="4"/>
          <w:right w:val="single" w:color="auto" w:sz="4"/>
          <w:insideH w:val="single" w:color="auto" w:sz="4"/>
          <w:insideV w:val="single" w:color="auto" w:sz="4"/>
        </w:tblBorders>
      </w:tblPr>
      <w:tblGrid>
        <w:gridCol w:w="2400"/>
        <w:gridCol w:w="6860"/>
      </w:tblGrid>
      <w:tr>
        <w:tc>
          <w:tcPr>
            <w:tcW w:type="dxa" w:w="9260"/>
            <w:gridSpan w:val="2"/>
            <w:tcBorders>
              <w:top w:val="none" w:color="FFFFFF" w:sz="0"/>
              <w:left w:val="none" w:color="FFFFFF" w:sz="0"/>
              <w:bottom w:val="none" w:color="FFFFFF" w:sz="0"/>
              <w:right w:val="none" w:color="FFFFFF" w:sz="0"/>
            </w:tcBorders>
            <w:shd w:fill="006B6B" w:val="clear"/>
            <w:tcMar>
              <w:top w:type="dxa" w:w="80"/>
              <w:left w:type="dxa" w:w="140"/>
              <w:bottom w:type="dxa" w:w="80"/>
              <w:right w:type="dxa" w:w="140"/>
            </w:tcMar>
          </w:tcPr>
          <w:p>
            <w:pPr>
              <w:spacing w:after="0" w:before="0"/>
            </w:pPr>
            <w:r>
              <w:rPr>
                <w:rFonts w:ascii="Arial" w:cs="Arial" w:eastAsia="Arial" w:hAnsi="Arial"/>
                <w:b/>
                <w:bCs/>
                <w:color w:val="FFFFFF"/>
                <w:sz w:val="22"/>
                <w:szCs w:val="22"/>
              </w:rPr>
              <w:t xml:space="preserve">III  </w:t>
            </w:r>
            <w:r>
              <w:rPr>
                <w:rFonts w:ascii="Arial" w:cs="Arial" w:eastAsia="Arial" w:hAnsi="Arial"/>
                <w:b/>
                <w:bCs/>
                <w:color w:val="FFFFFF"/>
                <w:sz w:val="22"/>
                <w:szCs w:val="22"/>
              </w:rPr>
              <w:t xml:space="preserve">Danno da trattamento illecito di dati personali — Art. 82 GDPR</w:t>
            </w:r>
          </w:p>
        </w:tc>
      </w:tr>
      <w:tr>
        <w:tc>
          <w:tcPr>
            <w:tcW w:type="dxa" w:w="2400"/>
            <w:tcBorders>
              <w:top w:val="single" w:color="D0D8E0" w:sz="1"/>
              <w:left w:val="single" w:color="D0D8E0" w:sz="1"/>
              <w:bottom w:val="single" w:color="D0D8E0" w:sz="1"/>
              <w:right w:val="single" w:color="D0D8E0" w:sz="1"/>
            </w:tcBorders>
            <w:shd w:fill="F2F6FA" w:val="clear"/>
            <w:tcMar>
              <w:top w:type="dxa" w:w="70"/>
              <w:left w:type="dxa" w:w="120"/>
              <w:bottom w:type="dxa" w:w="70"/>
              <w:right w:type="dxa" w:w="120"/>
            </w:tcMar>
            <w:vAlign w:val="top"/>
          </w:tcPr>
          <w:p>
            <w:pPr>
              <w:spacing w:after="0" w:before="0"/>
            </w:pPr>
            <w:r>
              <w:rPr>
                <w:rFonts w:ascii="Arial" w:cs="Arial" w:eastAsia="Arial" w:hAnsi="Arial"/>
                <w:b/>
                <w:bCs/>
                <w:color w:val="1A2E4A"/>
                <w:sz w:val="18"/>
                <w:szCs w:val="18"/>
              </w:rPr>
              <w:t xml:space="preserve">Fondamento sostanziale</w:t>
            </w:r>
          </w:p>
        </w:tc>
        <w:tc>
          <w:tcPr>
            <w:tcW w:type="dxa" w:w="6860"/>
            <w:tcBorders>
              <w:top w:val="single" w:color="D0D8E0" w:sz="1"/>
              <w:left w:val="single" w:color="D0D8E0" w:sz="1"/>
              <w:bottom w:val="single" w:color="D0D8E0" w:sz="1"/>
              <w:right w:val="single" w:color="D0D8E0" w:sz="1"/>
            </w:tcBorders>
            <w:tcMar>
              <w:top w:type="dxa" w:w="70"/>
              <w:left w:type="dxa" w:w="120"/>
              <w:bottom w:type="dxa" w:w="70"/>
              <w:right w:type="dxa" w:w="120"/>
            </w:tcMar>
            <w:vAlign w:val="top"/>
          </w:tcPr>
          <w:p>
            <w:pPr>
              <w:spacing w:after="40" w:before="0"/>
            </w:pPr>
            <w:r>
              <w:rPr>
                <w:rFonts w:ascii="Arial" w:cs="Arial" w:eastAsia="Arial" w:hAnsi="Arial"/>
                <w:color w:val="4A5568"/>
                <w:sz w:val="18"/>
                <w:szCs w:val="18"/>
              </w:rPr>
              <w:t xml:space="preserve">Art. 82, par. 1, Reg. UE 2016/679 (GDPR)</w:t>
            </w:r>
          </w:p>
          <w:p>
            <w:pPr>
              <w:spacing w:after="40" w:before="0"/>
            </w:pPr>
            <w:r>
              <w:rPr>
                <w:rFonts w:ascii="Arial" w:cs="Arial" w:eastAsia="Arial" w:hAnsi="Arial"/>
                <w:color w:val="4A5568"/>
                <w:sz w:val="18"/>
                <w:szCs w:val="18"/>
              </w:rPr>
              <w:t xml:space="preserve">Art. 152 D.Lgs. 196/2003 (Codice Privacy)</w:t>
            </w:r>
          </w:p>
          <w:p>
            <w:pPr>
              <w:spacing w:after="40" w:before="0"/>
            </w:pPr>
            <w:r>
              <w:rPr>
                <w:rFonts w:ascii="Arial" w:cs="Arial" w:eastAsia="Arial" w:hAnsi="Arial"/>
                <w:color w:val="4A5568"/>
                <w:sz w:val="18"/>
                <w:szCs w:val="18"/>
              </w:rPr>
              <w:t xml:space="preserve">Considerando 85 e 146 GDPR</w:t>
            </w:r>
          </w:p>
          <w:p>
            <w:pPr>
              <w:spacing w:after="40" w:before="0"/>
            </w:pPr>
            <w:r>
              <w:rPr>
                <w:rFonts w:ascii="Arial" w:cs="Arial" w:eastAsia="Arial" w:hAnsi="Arial"/>
                <w:color w:val="4A5568"/>
                <w:sz w:val="18"/>
                <w:szCs w:val="18"/>
              </w:rPr>
              <w:t xml:space="preserve">Art. 2050 c.c. (per analogia sul regime probatorio)</w:t>
            </w:r>
          </w:p>
        </w:tc>
      </w:tr>
      <w:tr>
        <w:tc>
          <w:tcPr>
            <w:tcW w:type="dxa" w:w="2400"/>
            <w:tcBorders>
              <w:top w:val="single" w:color="D0D8E0" w:sz="1"/>
              <w:left w:val="single" w:color="D0D8E0" w:sz="1"/>
              <w:bottom w:val="single" w:color="D0D8E0" w:sz="1"/>
              <w:right w:val="single" w:color="D0D8E0" w:sz="1"/>
            </w:tcBorders>
            <w:shd w:fill="F2F6FA" w:val="clear"/>
            <w:tcMar>
              <w:top w:type="dxa" w:w="70"/>
              <w:left w:type="dxa" w:w="120"/>
              <w:bottom w:type="dxa" w:w="70"/>
              <w:right w:type="dxa" w:w="120"/>
            </w:tcMar>
            <w:vAlign w:val="top"/>
          </w:tcPr>
          <w:p>
            <w:pPr>
              <w:spacing w:after="0" w:before="0"/>
            </w:pPr>
            <w:r>
              <w:rPr>
                <w:rFonts w:ascii="Arial" w:cs="Arial" w:eastAsia="Arial" w:hAnsi="Arial"/>
                <w:b/>
                <w:bCs/>
                <w:color w:val="1A2E4A"/>
                <w:sz w:val="18"/>
                <w:szCs w:val="18"/>
              </w:rPr>
              <w:t xml:space="preserve">Tipologie di danno risarcibile</w:t>
            </w:r>
          </w:p>
        </w:tc>
        <w:tc>
          <w:tcPr>
            <w:tcW w:type="dxa" w:w="6860"/>
            <w:tcBorders>
              <w:top w:val="single" w:color="D0D8E0" w:sz="1"/>
              <w:left w:val="single" w:color="D0D8E0" w:sz="1"/>
              <w:bottom w:val="single" w:color="D0D8E0" w:sz="1"/>
              <w:right w:val="single" w:color="D0D8E0" w:sz="1"/>
            </w:tcBorders>
            <w:tcMar>
              <w:top w:type="dxa" w:w="70"/>
              <w:left w:type="dxa" w:w="120"/>
              <w:bottom w:type="dxa" w:w="70"/>
              <w:right w:type="dxa" w:w="120"/>
            </w:tcMar>
            <w:vAlign w:val="top"/>
          </w:tcPr>
          <w:p>
            <w:pPr>
              <w:spacing w:after="40" w:before="0"/>
            </w:pPr>
            <w:r>
              <w:rPr>
                <w:rFonts w:ascii="Arial" w:cs="Arial" w:eastAsia="Arial" w:hAnsi="Arial"/>
                <w:color w:val="4A5568"/>
                <w:sz w:val="18"/>
                <w:szCs w:val="18"/>
              </w:rPr>
              <w:t xml:space="preserve">Danno materiale (patrimoniale) e danno immateriale (morale, esistenziale, da perdita di controllo). Le voci si cumulano senza duplicazione.</w:t>
            </w:r>
          </w:p>
        </w:tc>
      </w:tr>
      <w:tr>
        <w:tc>
          <w:tcPr>
            <w:tcW w:type="dxa" w:w="2400"/>
            <w:tcBorders>
              <w:top w:val="single" w:color="D0D8E0" w:sz="1"/>
              <w:left w:val="single" w:color="D0D8E0" w:sz="1"/>
              <w:bottom w:val="single" w:color="D0D8E0" w:sz="1"/>
              <w:right w:val="single" w:color="D0D8E0" w:sz="1"/>
            </w:tcBorders>
            <w:shd w:fill="F2F6FA" w:val="clear"/>
            <w:tcMar>
              <w:top w:type="dxa" w:w="70"/>
              <w:left w:type="dxa" w:w="120"/>
              <w:bottom w:type="dxa" w:w="70"/>
              <w:right w:type="dxa" w:w="120"/>
            </w:tcMar>
            <w:vAlign w:val="top"/>
          </w:tcPr>
          <w:p>
            <w:pPr>
              <w:spacing w:after="0" w:before="0"/>
            </w:pPr>
            <w:r>
              <w:rPr>
                <w:rFonts w:ascii="Arial" w:cs="Arial" w:eastAsia="Arial" w:hAnsi="Arial"/>
                <w:b/>
                <w:bCs/>
                <w:color w:val="1A2E4A"/>
                <w:sz w:val="18"/>
                <w:szCs w:val="18"/>
              </w:rPr>
              <w:t xml:space="preserve">Onere probatorio</w:t>
            </w:r>
          </w:p>
        </w:tc>
        <w:tc>
          <w:tcPr>
            <w:tcW w:type="dxa" w:w="6860"/>
            <w:tcBorders>
              <w:top w:val="single" w:color="D0D8E0" w:sz="1"/>
              <w:left w:val="single" w:color="D0D8E0" w:sz="1"/>
              <w:bottom w:val="single" w:color="D0D8E0" w:sz="1"/>
              <w:right w:val="single" w:color="D0D8E0" w:sz="1"/>
            </w:tcBorders>
            <w:tcMar>
              <w:top w:type="dxa" w:w="70"/>
              <w:left w:type="dxa" w:w="120"/>
              <w:bottom w:type="dxa" w:w="70"/>
              <w:right w:type="dxa" w:w="120"/>
            </w:tcMar>
            <w:vAlign w:val="top"/>
          </w:tcPr>
          <w:p>
            <w:pPr>
              <w:spacing w:after="40" w:before="0"/>
            </w:pPr>
            <w:r>
              <w:rPr>
                <w:rFonts w:ascii="Arial" w:cs="Arial" w:eastAsia="Arial" w:hAnsi="Arial"/>
                <w:color w:val="4A5568"/>
                <w:sz w:val="18"/>
                <w:szCs w:val="18"/>
              </w:rPr>
              <w:t xml:space="preserve">Inversione a carico del titolare del trattamento: deve provare di aver adottato misure organizzative e di sicurezza adeguate. Il solo accertamento del trattamento illecito e del danno integra la responsabilità, salvo prova liberatoria positiva del titolare.</w:t>
            </w:r>
          </w:p>
        </w:tc>
      </w:tr>
      <w:tr>
        <w:tc>
          <w:tcPr>
            <w:tcW w:type="dxa" w:w="2400"/>
            <w:tcBorders>
              <w:top w:val="single" w:color="D0D8E0" w:sz="1"/>
              <w:left w:val="single" w:color="D0D8E0" w:sz="1"/>
              <w:bottom w:val="single" w:color="D0D8E0" w:sz="1"/>
              <w:right w:val="single" w:color="D0D8E0" w:sz="1"/>
            </w:tcBorders>
            <w:shd w:fill="F2F6FA" w:val="clear"/>
            <w:tcMar>
              <w:top w:type="dxa" w:w="70"/>
              <w:left w:type="dxa" w:w="120"/>
              <w:bottom w:type="dxa" w:w="70"/>
              <w:right w:type="dxa" w:w="120"/>
            </w:tcMar>
            <w:vAlign w:val="top"/>
          </w:tcPr>
          <w:p>
            <w:pPr>
              <w:spacing w:after="0" w:before="0"/>
            </w:pPr>
            <w:r>
              <w:rPr>
                <w:rFonts w:ascii="Arial" w:cs="Arial" w:eastAsia="Arial" w:hAnsi="Arial"/>
                <w:b/>
                <w:bCs/>
                <w:color w:val="1A2E4A"/>
                <w:sz w:val="18"/>
                <w:szCs w:val="18"/>
              </w:rPr>
              <w:t xml:space="preserve">Sede e rito</w:t>
            </w:r>
          </w:p>
        </w:tc>
        <w:tc>
          <w:tcPr>
            <w:tcW w:type="dxa" w:w="6860"/>
            <w:tcBorders>
              <w:top w:val="single" w:color="D0D8E0" w:sz="1"/>
              <w:left w:val="single" w:color="D0D8E0" w:sz="1"/>
              <w:bottom w:val="single" w:color="D0D8E0" w:sz="1"/>
              <w:right w:val="single" w:color="D0D8E0" w:sz="1"/>
            </w:tcBorders>
            <w:tcMar>
              <w:top w:type="dxa" w:w="70"/>
              <w:left w:type="dxa" w:w="120"/>
              <w:bottom w:type="dxa" w:w="70"/>
              <w:right w:type="dxa" w:w="120"/>
            </w:tcMar>
            <w:vAlign w:val="top"/>
          </w:tcPr>
          <w:p>
            <w:pPr>
              <w:spacing w:after="40" w:before="0"/>
            </w:pPr>
            <w:r>
              <w:rPr>
                <w:rFonts w:ascii="Arial" w:cs="Arial" w:eastAsia="Arial" w:hAnsi="Arial"/>
                <w:color w:val="4A5568"/>
                <w:sz w:val="18"/>
                <w:szCs w:val="18"/>
              </w:rPr>
              <w:t xml:space="preserve">Tribunale del luogo in cui è stabilito il titolare del trattamento (art. 79, par. 2, GDPR; art. 152, co. 2, D.Lgs. 196/2003). Rito del lavoro, atto introduttivo in forma di ricorso (art. 10 D.Lgs. 150/2011).</w:t>
            </w:r>
          </w:p>
        </w:tc>
      </w:tr>
      <w:tr>
        <w:tc>
          <w:tcPr>
            <w:tcW w:type="dxa" w:w="2400"/>
            <w:tcBorders>
              <w:top w:val="single" w:color="D0D8E0" w:sz="1"/>
              <w:left w:val="single" w:color="D0D8E0" w:sz="1"/>
              <w:bottom w:val="single" w:color="D0D8E0" w:sz="1"/>
              <w:right w:val="single" w:color="D0D8E0" w:sz="1"/>
            </w:tcBorders>
            <w:shd w:fill="F2F6FA" w:val="clear"/>
            <w:tcMar>
              <w:top w:type="dxa" w:w="70"/>
              <w:left w:type="dxa" w:w="120"/>
              <w:bottom w:type="dxa" w:w="70"/>
              <w:right w:type="dxa" w:w="120"/>
            </w:tcMar>
            <w:vAlign w:val="top"/>
          </w:tcPr>
          <w:p>
            <w:pPr>
              <w:spacing w:after="0" w:before="0"/>
            </w:pPr>
            <w:r>
              <w:rPr>
                <w:rFonts w:ascii="Arial" w:cs="Arial" w:eastAsia="Arial" w:hAnsi="Arial"/>
                <w:b/>
                <w:bCs/>
                <w:color w:val="1A2E4A"/>
                <w:sz w:val="18"/>
                <w:szCs w:val="18"/>
              </w:rPr>
              <w:t xml:space="preserve">Giurisprudenza chiave</w:t>
            </w:r>
          </w:p>
        </w:tc>
        <w:tc>
          <w:tcPr>
            <w:tcW w:type="dxa" w:w="6860"/>
            <w:tcBorders>
              <w:top w:val="single" w:color="D0D8E0" w:sz="1"/>
              <w:left w:val="single" w:color="D0D8E0" w:sz="1"/>
              <w:bottom w:val="single" w:color="D0D8E0" w:sz="1"/>
              <w:right w:val="single" w:color="D0D8E0" w:sz="1"/>
            </w:tcBorders>
            <w:tcMar>
              <w:top w:type="dxa" w:w="70"/>
              <w:left w:type="dxa" w:w="120"/>
              <w:bottom w:type="dxa" w:w="70"/>
              <w:right w:type="dxa" w:w="120"/>
            </w:tcMar>
            <w:vAlign w:val="top"/>
          </w:tcPr>
          <w:p>
            <w:pPr>
              <w:spacing w:after="40" w:before="0"/>
            </w:pPr>
            <w:r>
              <w:rPr>
                <w:rFonts w:ascii="Arial" w:cs="Arial" w:eastAsia="Arial" w:hAnsi="Arial"/>
                <w:color w:val="4A5568"/>
                <w:sz w:val="18"/>
                <w:szCs w:val="18"/>
              </w:rPr>
              <w:t xml:space="preserve">Corte Giust. UE, Grande Sez., 14 dicembre 2023, C-340/21 (Natsionalna agentsia za prihodite)</w:t>
            </w:r>
          </w:p>
          <w:p>
            <w:pPr>
              <w:spacing w:after="40" w:before="0"/>
            </w:pPr>
            <w:r>
              <w:rPr>
                <w:rFonts w:ascii="Arial" w:cs="Arial" w:eastAsia="Arial" w:hAnsi="Arial"/>
                <w:color w:val="4A5568"/>
                <w:sz w:val="18"/>
                <w:szCs w:val="18"/>
              </w:rPr>
              <w:t xml:space="preserve">Corte Giust. UE, 4 ottobre 2024, C-200/23</w:t>
            </w:r>
          </w:p>
          <w:p>
            <w:pPr>
              <w:spacing w:after="40" w:before="0"/>
            </w:pPr>
            <w:r>
              <w:rPr>
                <w:rFonts w:ascii="Arial" w:cs="Arial" w:eastAsia="Arial" w:hAnsi="Arial"/>
                <w:color w:val="4A5568"/>
                <w:sz w:val="18"/>
                <w:szCs w:val="18"/>
              </w:rPr>
              <w:t xml:space="preserve">Cass. civ., Sez. III, ord. n. 10155/2024</w:t>
            </w:r>
          </w:p>
        </w:tc>
      </w:tr>
    </w:tbl>
    <w:p>
      <w:pPr>
        <w:spacing w:after="0" w:before="120"/>
      </w:pPr>
    </w:p>
    <w:tbl>
      <w:tblPr>
        <w:tblW w:type="dxa" w:w="9260"/>
        <w:tblBorders>
          <w:top w:val="single" w:color="auto" w:sz="4"/>
          <w:left w:val="single" w:color="auto" w:sz="4"/>
          <w:bottom w:val="single" w:color="auto" w:sz="4"/>
          <w:right w:val="single" w:color="auto" w:sz="4"/>
          <w:insideH w:val="single" w:color="auto" w:sz="4"/>
          <w:insideV w:val="single" w:color="auto" w:sz="4"/>
        </w:tblBorders>
      </w:tblPr>
      <w:tblGrid>
        <w:gridCol w:w="2400"/>
        <w:gridCol w:w="6860"/>
      </w:tblGrid>
      <w:tr>
        <w:tc>
          <w:tcPr>
            <w:tcW w:type="dxa" w:w="9260"/>
            <w:gridSpan w:val="2"/>
            <w:tcBorders>
              <w:top w:val="none" w:color="FFFFFF" w:sz="0"/>
              <w:left w:val="none" w:color="FFFFFF" w:sz="0"/>
              <w:bottom w:val="none" w:color="FFFFFF" w:sz="0"/>
              <w:right w:val="none" w:color="FFFFFF" w:sz="0"/>
            </w:tcBorders>
            <w:shd w:fill="4A3580" w:val="clear"/>
            <w:tcMar>
              <w:top w:type="dxa" w:w="80"/>
              <w:left w:type="dxa" w:w="140"/>
              <w:bottom w:type="dxa" w:w="80"/>
              <w:right w:type="dxa" w:w="140"/>
            </w:tcMar>
          </w:tcPr>
          <w:p>
            <w:pPr>
              <w:spacing w:after="0" w:before="0"/>
            </w:pPr>
            <w:r>
              <w:rPr>
                <w:rFonts w:ascii="Arial" w:cs="Arial" w:eastAsia="Arial" w:hAnsi="Arial"/>
                <w:b/>
                <w:bCs/>
                <w:color w:val="FFFFFF"/>
                <w:sz w:val="22"/>
                <w:szCs w:val="22"/>
              </w:rPr>
              <w:t xml:space="preserve">IV  </w:t>
            </w:r>
            <w:r>
              <w:rPr>
                <w:rFonts w:ascii="Arial" w:cs="Arial" w:eastAsia="Arial" w:hAnsi="Arial"/>
                <w:b/>
                <w:bCs/>
                <w:color w:val="FFFFFF"/>
                <w:sz w:val="22"/>
                <w:szCs w:val="22"/>
              </w:rPr>
              <w:t xml:space="preserve">Danno da perdita del controllo sui dati personali — Voce autonoma euro-unitaria</w:t>
            </w:r>
          </w:p>
        </w:tc>
      </w:tr>
      <w:tr>
        <w:tc>
          <w:tcPr>
            <w:tcW w:type="dxa" w:w="2400"/>
            <w:tcBorders>
              <w:top w:val="single" w:color="D0D8E0" w:sz="1"/>
              <w:left w:val="single" w:color="D0D8E0" w:sz="1"/>
              <w:bottom w:val="single" w:color="D0D8E0" w:sz="1"/>
              <w:right w:val="single" w:color="D0D8E0" w:sz="1"/>
            </w:tcBorders>
            <w:shd w:fill="F2F6FA" w:val="clear"/>
            <w:tcMar>
              <w:top w:type="dxa" w:w="70"/>
              <w:left w:type="dxa" w:w="120"/>
              <w:bottom w:type="dxa" w:w="70"/>
              <w:right w:type="dxa" w:w="120"/>
            </w:tcMar>
            <w:vAlign w:val="top"/>
          </w:tcPr>
          <w:p>
            <w:pPr>
              <w:spacing w:after="0" w:before="0"/>
            </w:pPr>
            <w:r>
              <w:rPr>
                <w:rFonts w:ascii="Arial" w:cs="Arial" w:eastAsia="Arial" w:hAnsi="Arial"/>
                <w:b/>
                <w:bCs/>
                <w:color w:val="1A2E4A"/>
                <w:sz w:val="18"/>
                <w:szCs w:val="18"/>
              </w:rPr>
              <w:t xml:space="preserve">Fondamento sostanziale</w:t>
            </w:r>
          </w:p>
        </w:tc>
        <w:tc>
          <w:tcPr>
            <w:tcW w:type="dxa" w:w="6860"/>
            <w:tcBorders>
              <w:top w:val="single" w:color="D0D8E0" w:sz="1"/>
              <w:left w:val="single" w:color="D0D8E0" w:sz="1"/>
              <w:bottom w:val="single" w:color="D0D8E0" w:sz="1"/>
              <w:right w:val="single" w:color="D0D8E0" w:sz="1"/>
            </w:tcBorders>
            <w:tcMar>
              <w:top w:type="dxa" w:w="70"/>
              <w:left w:type="dxa" w:w="120"/>
              <w:bottom w:type="dxa" w:w="70"/>
              <w:right w:type="dxa" w:w="120"/>
            </w:tcMar>
            <w:vAlign w:val="top"/>
          </w:tcPr>
          <w:p>
            <w:pPr>
              <w:spacing w:after="40" w:before="0"/>
            </w:pPr>
            <w:r>
              <w:rPr>
                <w:rFonts w:ascii="Arial" w:cs="Arial" w:eastAsia="Arial" w:hAnsi="Arial"/>
                <w:color w:val="4A5568"/>
                <w:sz w:val="18"/>
                <w:szCs w:val="18"/>
              </w:rPr>
              <w:t xml:space="preserve">Art. 82, par. 1, GDPR letto alla luce dei Considerando 75, 85 e 146</w:t>
            </w:r>
          </w:p>
          <w:p>
            <w:pPr>
              <w:spacing w:after="40" w:before="0"/>
            </w:pPr>
            <w:r>
              <w:rPr>
                <w:rFonts w:ascii="Arial" w:cs="Arial" w:eastAsia="Arial" w:hAnsi="Arial"/>
                <w:color w:val="4A5568"/>
                <w:sz w:val="18"/>
                <w:szCs w:val="18"/>
              </w:rPr>
              <w:t xml:space="preserve">Giurisprudenza CGUE: C-200/23, § 141; C-655/23; cause riunite C-182/22 e C-189/22 (Scalable Capital)</w:t>
            </w:r>
          </w:p>
        </w:tc>
      </w:tr>
      <w:tr>
        <w:tc>
          <w:tcPr>
            <w:tcW w:type="dxa" w:w="2400"/>
            <w:tcBorders>
              <w:top w:val="single" w:color="D0D8E0" w:sz="1"/>
              <w:left w:val="single" w:color="D0D8E0" w:sz="1"/>
              <w:bottom w:val="single" w:color="D0D8E0" w:sz="1"/>
              <w:right w:val="single" w:color="D0D8E0" w:sz="1"/>
            </w:tcBorders>
            <w:shd w:fill="F2F6FA" w:val="clear"/>
            <w:tcMar>
              <w:top w:type="dxa" w:w="70"/>
              <w:left w:type="dxa" w:w="120"/>
              <w:bottom w:type="dxa" w:w="70"/>
              <w:right w:type="dxa" w:w="120"/>
            </w:tcMar>
            <w:vAlign w:val="top"/>
          </w:tcPr>
          <w:p>
            <w:pPr>
              <w:spacing w:after="0" w:before="0"/>
            </w:pPr>
            <w:r>
              <w:rPr>
                <w:rFonts w:ascii="Arial" w:cs="Arial" w:eastAsia="Arial" w:hAnsi="Arial"/>
                <w:b/>
                <w:bCs/>
                <w:color w:val="1A2E4A"/>
                <w:sz w:val="18"/>
                <w:szCs w:val="18"/>
              </w:rPr>
              <w:t xml:space="preserve">Contenuto</w:t>
            </w:r>
          </w:p>
        </w:tc>
        <w:tc>
          <w:tcPr>
            <w:tcW w:type="dxa" w:w="6860"/>
            <w:tcBorders>
              <w:top w:val="single" w:color="D0D8E0" w:sz="1"/>
              <w:left w:val="single" w:color="D0D8E0" w:sz="1"/>
              <w:bottom w:val="single" w:color="D0D8E0" w:sz="1"/>
              <w:right w:val="single" w:color="D0D8E0" w:sz="1"/>
            </w:tcBorders>
            <w:tcMar>
              <w:top w:type="dxa" w:w="70"/>
              <w:left w:type="dxa" w:w="120"/>
              <w:bottom w:type="dxa" w:w="70"/>
              <w:right w:type="dxa" w:w="120"/>
            </w:tcMar>
            <w:vAlign w:val="top"/>
          </w:tcPr>
          <w:p>
            <w:pPr>
              <w:spacing w:after="40" w:before="0"/>
            </w:pPr>
            <w:r>
              <w:rPr>
                <w:rFonts w:ascii="Arial" w:cs="Arial" w:eastAsia="Arial" w:hAnsi="Arial"/>
                <w:color w:val="4A5568"/>
                <w:sz w:val="18"/>
                <w:szCs w:val="18"/>
              </w:rPr>
              <w:t xml:space="preserve">La perdita di controllo sulla circolazione dei propri dati personali — anche di durata limitata — costituisce danno immateriale risarcibile autonomamente, a condizione che sia allegata in concreto e non meramente presunta. Non è necessario provare ulteriore pregiudizio materiale.</w:t>
            </w:r>
          </w:p>
        </w:tc>
      </w:tr>
      <w:tr>
        <w:tc>
          <w:tcPr>
            <w:tcW w:type="dxa" w:w="2400"/>
            <w:tcBorders>
              <w:top w:val="single" w:color="D0D8E0" w:sz="1"/>
              <w:left w:val="single" w:color="D0D8E0" w:sz="1"/>
              <w:bottom w:val="single" w:color="D0D8E0" w:sz="1"/>
              <w:right w:val="single" w:color="D0D8E0" w:sz="1"/>
            </w:tcBorders>
            <w:shd w:fill="F2F6FA" w:val="clear"/>
            <w:tcMar>
              <w:top w:type="dxa" w:w="70"/>
              <w:left w:type="dxa" w:w="120"/>
              <w:bottom w:type="dxa" w:w="70"/>
              <w:right w:type="dxa" w:w="120"/>
            </w:tcMar>
            <w:vAlign w:val="top"/>
          </w:tcPr>
          <w:p>
            <w:pPr>
              <w:spacing w:after="0" w:before="0"/>
            </w:pPr>
            <w:r>
              <w:rPr>
                <w:rFonts w:ascii="Arial" w:cs="Arial" w:eastAsia="Arial" w:hAnsi="Arial"/>
                <w:b/>
                <w:bCs/>
                <w:color w:val="1A2E4A"/>
                <w:sz w:val="18"/>
                <w:szCs w:val="18"/>
              </w:rPr>
              <w:t xml:space="preserve">Allegazione necessaria</w:t>
            </w:r>
          </w:p>
        </w:tc>
        <w:tc>
          <w:tcPr>
            <w:tcW w:type="dxa" w:w="6860"/>
            <w:tcBorders>
              <w:top w:val="single" w:color="D0D8E0" w:sz="1"/>
              <w:left w:val="single" w:color="D0D8E0" w:sz="1"/>
              <w:bottom w:val="single" w:color="D0D8E0" w:sz="1"/>
              <w:right w:val="single" w:color="D0D8E0" w:sz="1"/>
            </w:tcBorders>
            <w:tcMar>
              <w:top w:type="dxa" w:w="70"/>
              <w:left w:type="dxa" w:w="120"/>
              <w:bottom w:type="dxa" w:w="70"/>
              <w:right w:type="dxa" w:w="120"/>
            </w:tcMar>
            <w:vAlign w:val="top"/>
          </w:tcPr>
          <w:p>
            <w:pPr>
              <w:spacing w:after="40" w:before="0"/>
            </w:pPr>
            <w:r>
              <w:rPr>
                <w:rFonts w:ascii="Arial" w:cs="Arial" w:eastAsia="Arial" w:hAnsi="Arial"/>
                <w:color w:val="4A5568"/>
                <w:sz w:val="18"/>
                <w:szCs w:val="18"/>
              </w:rPr>
              <w:t xml:space="preserve">Indicare: (i) quali dati sono stati diffusi, (ii) da chi e in quale contesto, (iii) che la diffusione era contraria alla volontà dell’interessato (scelta consapevole di riservatezza), (iv) il disagio emotivo derivante dalla perdita di controllo.</w:t>
            </w:r>
          </w:p>
        </w:tc>
      </w:tr>
      <w:tr>
        <w:tc>
          <w:tcPr>
            <w:tcW w:type="dxa" w:w="2400"/>
            <w:tcBorders>
              <w:top w:val="single" w:color="D0D8E0" w:sz="1"/>
              <w:left w:val="single" w:color="D0D8E0" w:sz="1"/>
              <w:bottom w:val="single" w:color="D0D8E0" w:sz="1"/>
              <w:right w:val="single" w:color="D0D8E0" w:sz="1"/>
            </w:tcBorders>
            <w:shd w:fill="F2F6FA" w:val="clear"/>
            <w:tcMar>
              <w:top w:type="dxa" w:w="70"/>
              <w:left w:type="dxa" w:w="120"/>
              <w:bottom w:type="dxa" w:w="70"/>
              <w:right w:type="dxa" w:w="120"/>
            </w:tcMar>
            <w:vAlign w:val="top"/>
          </w:tcPr>
          <w:p>
            <w:pPr>
              <w:spacing w:after="0" w:before="0"/>
            </w:pPr>
            <w:r>
              <w:rPr>
                <w:rFonts w:ascii="Arial" w:cs="Arial" w:eastAsia="Arial" w:hAnsi="Arial"/>
                <w:b/>
                <w:bCs/>
                <w:color w:val="1A2E4A"/>
                <w:sz w:val="18"/>
                <w:szCs w:val="18"/>
              </w:rPr>
              <w:t xml:space="preserve">Sede e rito</w:t>
            </w:r>
          </w:p>
        </w:tc>
        <w:tc>
          <w:tcPr>
            <w:tcW w:type="dxa" w:w="6860"/>
            <w:tcBorders>
              <w:top w:val="single" w:color="D0D8E0" w:sz="1"/>
              <w:left w:val="single" w:color="D0D8E0" w:sz="1"/>
              <w:bottom w:val="single" w:color="D0D8E0" w:sz="1"/>
              <w:right w:val="single" w:color="D0D8E0" w:sz="1"/>
            </w:tcBorders>
            <w:tcMar>
              <w:top w:type="dxa" w:w="70"/>
              <w:left w:type="dxa" w:w="120"/>
              <w:bottom w:type="dxa" w:w="70"/>
              <w:right w:type="dxa" w:w="120"/>
            </w:tcMar>
            <w:vAlign w:val="top"/>
          </w:tcPr>
          <w:p>
            <w:pPr>
              <w:spacing w:after="40" w:before="0"/>
            </w:pPr>
            <w:r>
              <w:rPr>
                <w:rFonts w:ascii="Arial" w:cs="Arial" w:eastAsia="Arial" w:hAnsi="Arial"/>
                <w:color w:val="4A5568"/>
                <w:sz w:val="18"/>
                <w:szCs w:val="18"/>
              </w:rPr>
              <w:t xml:space="preserve">Come sub III. Domanda incorporata nel medesimo ricorso.</w:t>
            </w:r>
          </w:p>
        </w:tc>
      </w:tr>
    </w:tbl>
    <w:p>
      <w:pPr>
        <w:spacing w:after="0" w:before="120"/>
      </w:pPr>
    </w:p>
    <w:p>
      <w:r>
        <w:br w:type="page"/>
      </w:r>
    </w:p>
    <w:tbl>
      <w:tblPr>
        <w:tblW w:type="dxa" w:w="9260"/>
        <w:tblBorders>
          <w:top w:val="single" w:color="auto" w:sz="4"/>
          <w:left w:val="single" w:color="auto" w:sz="4"/>
          <w:bottom w:val="single" w:color="auto" w:sz="4"/>
          <w:right w:val="single" w:color="auto" w:sz="4"/>
          <w:insideH w:val="single" w:color="auto" w:sz="4"/>
          <w:insideV w:val="single" w:color="auto" w:sz="4"/>
        </w:tblBorders>
      </w:tblPr>
      <w:tblGrid>
        <w:gridCol w:w="2400"/>
        <w:gridCol w:w="6860"/>
      </w:tblGrid>
      <w:tr>
        <w:tc>
          <w:tcPr>
            <w:tcW w:type="dxa" w:w="9260"/>
            <w:gridSpan w:val="2"/>
            <w:tcBorders>
              <w:top w:val="none" w:color="FFFFFF" w:sz="0"/>
              <w:left w:val="none" w:color="FFFFFF" w:sz="0"/>
              <w:bottom w:val="none" w:color="FFFFFF" w:sz="0"/>
              <w:right w:val="none" w:color="FFFFFF" w:sz="0"/>
            </w:tcBorders>
            <w:shd w:fill="006B6B" w:val="clear"/>
            <w:tcMar>
              <w:top w:type="dxa" w:w="80"/>
              <w:left w:type="dxa" w:w="140"/>
              <w:bottom w:type="dxa" w:w="80"/>
              <w:right w:type="dxa" w:w="140"/>
            </w:tcMar>
          </w:tcPr>
          <w:p>
            <w:pPr>
              <w:spacing w:after="0" w:before="0"/>
            </w:pPr>
            <w:r>
              <w:rPr>
                <w:rFonts w:ascii="Arial" w:cs="Arial" w:eastAsia="Arial" w:hAnsi="Arial"/>
                <w:b/>
                <w:bCs/>
                <w:color w:val="FFFFFF"/>
                <w:sz w:val="22"/>
                <w:szCs w:val="22"/>
              </w:rPr>
              <w:t xml:space="preserve">V  </w:t>
            </w:r>
            <w:r>
              <w:rPr>
                <w:rFonts w:ascii="Arial" w:cs="Arial" w:eastAsia="Arial" w:hAnsi="Arial"/>
                <w:b/>
                <w:bCs/>
                <w:color w:val="FFFFFF"/>
                <w:sz w:val="22"/>
                <w:szCs w:val="22"/>
              </w:rPr>
              <w:t xml:space="preserve">Danno da violazione del diritto di accesso — Art. 15 GDPR</w:t>
            </w:r>
          </w:p>
        </w:tc>
      </w:tr>
      <w:tr>
        <w:tc>
          <w:tcPr>
            <w:tcW w:type="dxa" w:w="2400"/>
            <w:tcBorders>
              <w:top w:val="single" w:color="D0D8E0" w:sz="1"/>
              <w:left w:val="single" w:color="D0D8E0" w:sz="1"/>
              <w:bottom w:val="single" w:color="D0D8E0" w:sz="1"/>
              <w:right w:val="single" w:color="D0D8E0" w:sz="1"/>
            </w:tcBorders>
            <w:shd w:fill="F2F6FA" w:val="clear"/>
            <w:tcMar>
              <w:top w:type="dxa" w:w="70"/>
              <w:left w:type="dxa" w:w="120"/>
              <w:bottom w:type="dxa" w:w="70"/>
              <w:right w:type="dxa" w:w="120"/>
            </w:tcMar>
            <w:vAlign w:val="top"/>
          </w:tcPr>
          <w:p>
            <w:pPr>
              <w:spacing w:after="0" w:before="0"/>
            </w:pPr>
            <w:r>
              <w:rPr>
                <w:rFonts w:ascii="Arial" w:cs="Arial" w:eastAsia="Arial" w:hAnsi="Arial"/>
                <w:b/>
                <w:bCs/>
                <w:color w:val="1A2E4A"/>
                <w:sz w:val="18"/>
                <w:szCs w:val="18"/>
              </w:rPr>
              <w:t xml:space="preserve">Fondamento sostanziale</w:t>
            </w:r>
          </w:p>
        </w:tc>
        <w:tc>
          <w:tcPr>
            <w:tcW w:type="dxa" w:w="6860"/>
            <w:tcBorders>
              <w:top w:val="single" w:color="D0D8E0" w:sz="1"/>
              <w:left w:val="single" w:color="D0D8E0" w:sz="1"/>
              <w:bottom w:val="single" w:color="D0D8E0" w:sz="1"/>
              <w:right w:val="single" w:color="D0D8E0" w:sz="1"/>
            </w:tcBorders>
            <w:tcMar>
              <w:top w:type="dxa" w:w="70"/>
              <w:left w:type="dxa" w:w="120"/>
              <w:bottom w:type="dxa" w:w="70"/>
              <w:right w:type="dxa" w:w="120"/>
            </w:tcMar>
            <w:vAlign w:val="top"/>
          </w:tcPr>
          <w:p>
            <w:pPr>
              <w:spacing w:after="40" w:before="0"/>
            </w:pPr>
            <w:r>
              <w:rPr>
                <w:rFonts w:ascii="Arial" w:cs="Arial" w:eastAsia="Arial" w:hAnsi="Arial"/>
                <w:color w:val="4A5568"/>
                <w:sz w:val="18"/>
                <w:szCs w:val="18"/>
              </w:rPr>
              <w:t xml:space="preserve">Artt. 12, par. 3, e 15, par. 1, GDPR</w:t>
            </w:r>
          </w:p>
          <w:p>
            <w:pPr>
              <w:spacing w:after="40" w:before="0"/>
            </w:pPr>
            <w:r>
              <w:rPr>
                <w:rFonts w:ascii="Arial" w:cs="Arial" w:eastAsia="Arial" w:hAnsi="Arial"/>
                <w:color w:val="4A5568"/>
                <w:sz w:val="18"/>
                <w:szCs w:val="18"/>
              </w:rPr>
              <w:t xml:space="preserve">Art. 82, par. 1, GDPR</w:t>
            </w:r>
          </w:p>
          <w:p>
            <w:pPr>
              <w:spacing w:after="40" w:before="0"/>
            </w:pPr>
            <w:r>
              <w:rPr>
                <w:rFonts w:ascii="Arial" w:cs="Arial" w:eastAsia="Arial" w:hAnsi="Arial"/>
                <w:color w:val="4A5568"/>
                <w:sz w:val="18"/>
                <w:szCs w:val="18"/>
              </w:rPr>
              <w:t xml:space="preserve">Corte Giust. UE, 19 marzo 2026, C-526/24, Brillen Rottler GmbH: la violazione del diritto di accesso ex art. 15 GDPR integra autonomamente diritto al risarcimento ex art. 82 GDPR</w:t>
            </w:r>
          </w:p>
        </w:tc>
      </w:tr>
      <w:tr>
        <w:tc>
          <w:tcPr>
            <w:tcW w:type="dxa" w:w="2400"/>
            <w:tcBorders>
              <w:top w:val="single" w:color="D0D8E0" w:sz="1"/>
              <w:left w:val="single" w:color="D0D8E0" w:sz="1"/>
              <w:bottom w:val="single" w:color="D0D8E0" w:sz="1"/>
              <w:right w:val="single" w:color="D0D8E0" w:sz="1"/>
            </w:tcBorders>
            <w:shd w:fill="F2F6FA" w:val="clear"/>
            <w:tcMar>
              <w:top w:type="dxa" w:w="70"/>
              <w:left w:type="dxa" w:w="120"/>
              <w:bottom w:type="dxa" w:w="70"/>
              <w:right w:type="dxa" w:w="120"/>
            </w:tcMar>
            <w:vAlign w:val="top"/>
          </w:tcPr>
          <w:p>
            <w:pPr>
              <w:spacing w:after="0" w:before="0"/>
            </w:pPr>
            <w:r>
              <w:rPr>
                <w:rFonts w:ascii="Arial" w:cs="Arial" w:eastAsia="Arial" w:hAnsi="Arial"/>
                <w:b/>
                <w:bCs/>
                <w:color w:val="1A2E4A"/>
                <w:sz w:val="18"/>
                <w:szCs w:val="18"/>
              </w:rPr>
              <w:t xml:space="preserve">Contenuto</w:t>
            </w:r>
          </w:p>
        </w:tc>
        <w:tc>
          <w:tcPr>
            <w:tcW w:type="dxa" w:w="6860"/>
            <w:tcBorders>
              <w:top w:val="single" w:color="D0D8E0" w:sz="1"/>
              <w:left w:val="single" w:color="D0D8E0" w:sz="1"/>
              <w:bottom w:val="single" w:color="D0D8E0" w:sz="1"/>
              <w:right w:val="single" w:color="D0D8E0" w:sz="1"/>
            </w:tcBorders>
            <w:tcMar>
              <w:top w:type="dxa" w:w="70"/>
              <w:left w:type="dxa" w:w="120"/>
              <w:bottom w:type="dxa" w:w="70"/>
              <w:right w:type="dxa" w:w="120"/>
            </w:tcMar>
            <w:vAlign w:val="top"/>
          </w:tcPr>
          <w:p>
            <w:pPr>
              <w:spacing w:after="40" w:before="0"/>
            </w:pPr>
            <w:r>
              <w:rPr>
                <w:rFonts w:ascii="Arial" w:cs="Arial" w:eastAsia="Arial" w:hAnsi="Arial"/>
                <w:color w:val="4A5568"/>
                <w:sz w:val="18"/>
                <w:szCs w:val="18"/>
              </w:rPr>
              <w:t xml:space="preserve">Risarcimento del danno derivante dal mancato o parziale riscontro alla richiesta di accesso ai dati personali (categorie, finalità, destinatari, periodo di conservazione).</w:t>
            </w:r>
          </w:p>
        </w:tc>
      </w:tr>
      <w:tr>
        <w:tc>
          <w:tcPr>
            <w:tcW w:type="dxa" w:w="2400"/>
            <w:tcBorders>
              <w:top w:val="single" w:color="D0D8E0" w:sz="1"/>
              <w:left w:val="single" w:color="D0D8E0" w:sz="1"/>
              <w:bottom w:val="single" w:color="D0D8E0" w:sz="1"/>
              <w:right w:val="single" w:color="D0D8E0" w:sz="1"/>
            </w:tcBorders>
            <w:shd w:fill="F2F6FA" w:val="clear"/>
            <w:tcMar>
              <w:top w:type="dxa" w:w="70"/>
              <w:left w:type="dxa" w:w="120"/>
              <w:bottom w:type="dxa" w:w="70"/>
              <w:right w:type="dxa" w:w="120"/>
            </w:tcMar>
            <w:vAlign w:val="top"/>
          </w:tcPr>
          <w:p>
            <w:pPr>
              <w:spacing w:after="0" w:before="0"/>
            </w:pPr>
            <w:r>
              <w:rPr>
                <w:rFonts w:ascii="Arial" w:cs="Arial" w:eastAsia="Arial" w:hAnsi="Arial"/>
                <w:b/>
                <w:bCs/>
                <w:color w:val="1A2E4A"/>
                <w:sz w:val="18"/>
                <w:szCs w:val="18"/>
              </w:rPr>
              <w:t xml:space="preserve">Condizione</w:t>
            </w:r>
          </w:p>
        </w:tc>
        <w:tc>
          <w:tcPr>
            <w:tcW w:type="dxa" w:w="6860"/>
            <w:tcBorders>
              <w:top w:val="single" w:color="D0D8E0" w:sz="1"/>
              <w:left w:val="single" w:color="D0D8E0" w:sz="1"/>
              <w:bottom w:val="single" w:color="D0D8E0" w:sz="1"/>
              <w:right w:val="single" w:color="D0D8E0" w:sz="1"/>
            </w:tcBorders>
            <w:tcMar>
              <w:top w:type="dxa" w:w="70"/>
              <w:left w:type="dxa" w:w="120"/>
              <w:bottom w:type="dxa" w:w="70"/>
              <w:right w:type="dxa" w:w="120"/>
            </w:tcMar>
            <w:vAlign w:val="top"/>
          </w:tcPr>
          <w:p>
            <w:pPr>
              <w:spacing w:after="40" w:before="0"/>
            </w:pPr>
            <w:r>
              <w:rPr>
                <w:rFonts w:ascii="Arial" w:cs="Arial" w:eastAsia="Arial" w:hAnsi="Arial"/>
                <w:color w:val="4A5568"/>
                <w:sz w:val="18"/>
                <w:szCs w:val="18"/>
              </w:rPr>
              <w:t xml:space="preserve">La domanda diviene esigibile decorsi 30 giorni dalla richiesta di accesso (art. 12, par. 3, GDPR) senza adeguato riscontro. Si consiglia di attendere la scadenza del termine prima di formalizzare la pretesa.</w:t>
            </w:r>
          </w:p>
        </w:tc>
      </w:tr>
      <w:tr>
        <w:tc>
          <w:tcPr>
            <w:tcW w:type="dxa" w:w="2400"/>
            <w:tcBorders>
              <w:top w:val="single" w:color="D0D8E0" w:sz="1"/>
              <w:left w:val="single" w:color="D0D8E0" w:sz="1"/>
              <w:bottom w:val="single" w:color="D0D8E0" w:sz="1"/>
              <w:right w:val="single" w:color="D0D8E0" w:sz="1"/>
            </w:tcBorders>
            <w:shd w:fill="F2F6FA" w:val="clear"/>
            <w:tcMar>
              <w:top w:type="dxa" w:w="70"/>
              <w:left w:type="dxa" w:w="120"/>
              <w:bottom w:type="dxa" w:w="70"/>
              <w:right w:type="dxa" w:w="120"/>
            </w:tcMar>
            <w:vAlign w:val="top"/>
          </w:tcPr>
          <w:p>
            <w:pPr>
              <w:spacing w:after="0" w:before="0"/>
            </w:pPr>
            <w:r>
              <w:rPr>
                <w:rFonts w:ascii="Arial" w:cs="Arial" w:eastAsia="Arial" w:hAnsi="Arial"/>
                <w:b/>
                <w:bCs/>
                <w:color w:val="1A2E4A"/>
                <w:sz w:val="18"/>
                <w:szCs w:val="18"/>
              </w:rPr>
              <w:t xml:space="preserve">Sede e rito</w:t>
            </w:r>
          </w:p>
        </w:tc>
        <w:tc>
          <w:tcPr>
            <w:tcW w:type="dxa" w:w="6860"/>
            <w:tcBorders>
              <w:top w:val="single" w:color="D0D8E0" w:sz="1"/>
              <w:left w:val="single" w:color="D0D8E0" w:sz="1"/>
              <w:bottom w:val="single" w:color="D0D8E0" w:sz="1"/>
              <w:right w:val="single" w:color="D0D8E0" w:sz="1"/>
            </w:tcBorders>
            <w:tcMar>
              <w:top w:type="dxa" w:w="70"/>
              <w:left w:type="dxa" w:w="120"/>
              <w:bottom w:type="dxa" w:w="70"/>
              <w:right w:type="dxa" w:w="120"/>
            </w:tcMar>
            <w:vAlign w:val="top"/>
          </w:tcPr>
          <w:p>
            <w:pPr>
              <w:spacing w:after="40" w:before="0"/>
            </w:pPr>
            <w:r>
              <w:rPr>
                <w:rFonts w:ascii="Arial" w:cs="Arial" w:eastAsia="Arial" w:hAnsi="Arial"/>
                <w:color w:val="4A5568"/>
                <w:sz w:val="18"/>
                <w:szCs w:val="18"/>
              </w:rPr>
              <w:t xml:space="preserve">Come sub III. Cumulabile ex art. 104 c.p.c. con le altre domande GDPR.</w:t>
            </w:r>
          </w:p>
        </w:tc>
      </w:tr>
    </w:tbl>
    <w:p>
      <w:pPr>
        <w:spacing w:after="0" w:before="120"/>
      </w:pPr>
    </w:p>
    <w:tbl>
      <w:tblPr>
        <w:tblW w:type="dxa" w:w="9260"/>
        <w:tblBorders>
          <w:top w:val="single" w:color="auto" w:sz="4"/>
          <w:left w:val="single" w:color="auto" w:sz="4"/>
          <w:bottom w:val="single" w:color="auto" w:sz="4"/>
          <w:right w:val="single" w:color="auto" w:sz="4"/>
          <w:insideH w:val="single" w:color="auto" w:sz="4"/>
          <w:insideV w:val="single" w:color="auto" w:sz="4"/>
        </w:tblBorders>
      </w:tblPr>
      <w:tblGrid>
        <w:gridCol w:w="2400"/>
        <w:gridCol w:w="6860"/>
      </w:tblGrid>
      <w:tr>
        <w:tc>
          <w:tcPr>
            <w:tcW w:type="dxa" w:w="9260"/>
            <w:gridSpan w:val="2"/>
            <w:tcBorders>
              <w:top w:val="none" w:color="FFFFFF" w:sz="0"/>
              <w:left w:val="none" w:color="FFFFFF" w:sz="0"/>
              <w:bottom w:val="none" w:color="FFFFFF" w:sz="0"/>
              <w:right w:val="none" w:color="FFFFFF" w:sz="0"/>
            </w:tcBorders>
            <w:shd w:fill="B86A00" w:val="clear"/>
            <w:tcMar>
              <w:top w:type="dxa" w:w="80"/>
              <w:left w:type="dxa" w:w="140"/>
              <w:bottom w:type="dxa" w:w="80"/>
              <w:right w:type="dxa" w:w="140"/>
            </w:tcMar>
          </w:tcPr>
          <w:p>
            <w:pPr>
              <w:spacing w:after="0" w:before="0"/>
            </w:pPr>
            <w:r>
              <w:rPr>
                <w:rFonts w:ascii="Arial" w:cs="Arial" w:eastAsia="Arial" w:hAnsi="Arial"/>
                <w:b/>
                <w:bCs/>
                <w:color w:val="FFFFFF"/>
                <w:sz w:val="22"/>
                <w:szCs w:val="22"/>
              </w:rPr>
              <w:t xml:space="preserve">VI  </w:t>
            </w:r>
            <w:r>
              <w:rPr>
                <w:rFonts w:ascii="Arial" w:cs="Arial" w:eastAsia="Arial" w:hAnsi="Arial"/>
                <w:b/>
                <w:bCs/>
                <w:color w:val="FFFFFF"/>
                <w:sz w:val="22"/>
                <w:szCs w:val="22"/>
              </w:rPr>
              <w:t xml:space="preserve">Tutela inibitoria e ripristinatoria</w:t>
            </w:r>
          </w:p>
        </w:tc>
      </w:tr>
      <w:tr>
        <w:tc>
          <w:tcPr>
            <w:tcW w:type="dxa" w:w="2400"/>
            <w:tcBorders>
              <w:top w:val="single" w:color="D0D8E0" w:sz="1"/>
              <w:left w:val="single" w:color="D0D8E0" w:sz="1"/>
              <w:bottom w:val="single" w:color="D0D8E0" w:sz="1"/>
              <w:right w:val="single" w:color="D0D8E0" w:sz="1"/>
            </w:tcBorders>
            <w:shd w:fill="F2F6FA" w:val="clear"/>
            <w:tcMar>
              <w:top w:type="dxa" w:w="70"/>
              <w:left w:type="dxa" w:w="120"/>
              <w:bottom w:type="dxa" w:w="70"/>
              <w:right w:type="dxa" w:w="120"/>
            </w:tcMar>
            <w:vAlign w:val="top"/>
          </w:tcPr>
          <w:p>
            <w:pPr>
              <w:spacing w:after="0" w:before="0"/>
            </w:pPr>
            <w:r>
              <w:rPr>
                <w:rFonts w:ascii="Arial" w:cs="Arial" w:eastAsia="Arial" w:hAnsi="Arial"/>
                <w:b/>
                <w:bCs/>
                <w:color w:val="1A2E4A"/>
                <w:sz w:val="18"/>
                <w:szCs w:val="18"/>
              </w:rPr>
              <w:t xml:space="preserve">Fondamento sostanziale</w:t>
            </w:r>
          </w:p>
        </w:tc>
        <w:tc>
          <w:tcPr>
            <w:tcW w:type="dxa" w:w="6860"/>
            <w:tcBorders>
              <w:top w:val="single" w:color="D0D8E0" w:sz="1"/>
              <w:left w:val="single" w:color="D0D8E0" w:sz="1"/>
              <w:bottom w:val="single" w:color="D0D8E0" w:sz="1"/>
              <w:right w:val="single" w:color="D0D8E0" w:sz="1"/>
            </w:tcBorders>
            <w:tcMar>
              <w:top w:type="dxa" w:w="70"/>
              <w:left w:type="dxa" w:w="120"/>
              <w:bottom w:type="dxa" w:w="70"/>
              <w:right w:type="dxa" w:w="120"/>
            </w:tcMar>
            <w:vAlign w:val="top"/>
          </w:tcPr>
          <w:p>
            <w:pPr>
              <w:spacing w:after="40" w:before="0"/>
            </w:pPr>
            <w:r>
              <w:rPr>
                <w:rFonts w:ascii="Arial" w:cs="Arial" w:eastAsia="Arial" w:hAnsi="Arial"/>
                <w:color w:val="4A5568"/>
                <w:sz w:val="18"/>
                <w:szCs w:val="18"/>
              </w:rPr>
              <w:t xml:space="preserve">Art. 10 c.c. (diritto all’immagine)</w:t>
            </w:r>
          </w:p>
          <w:p>
            <w:pPr>
              <w:spacing w:after="40" w:before="0"/>
            </w:pPr>
            <w:r>
              <w:rPr>
                <w:rFonts w:ascii="Arial" w:cs="Arial" w:eastAsia="Arial" w:hAnsi="Arial"/>
                <w:color w:val="4A5568"/>
                <w:sz w:val="18"/>
                <w:szCs w:val="18"/>
              </w:rPr>
              <w:t xml:space="preserve">Art. 156 L. 633/1941 (inibitoria in materia di diritto d’autore)</w:t>
            </w:r>
          </w:p>
          <w:p>
            <w:pPr>
              <w:spacing w:after="40" w:before="0"/>
            </w:pPr>
            <w:r>
              <w:rPr>
                <w:rFonts w:ascii="Arial" w:cs="Arial" w:eastAsia="Arial" w:hAnsi="Arial"/>
                <w:color w:val="4A5568"/>
                <w:sz w:val="18"/>
                <w:szCs w:val="18"/>
              </w:rPr>
              <w:t xml:space="preserve">Art. 17 GDPR (diritto alla cancellazione / “diritto all’oblio”)</w:t>
            </w:r>
          </w:p>
          <w:p>
            <w:pPr>
              <w:spacing w:after="40" w:before="0"/>
            </w:pPr>
            <w:r>
              <w:rPr>
                <w:rFonts w:ascii="Arial" w:cs="Arial" w:eastAsia="Arial" w:hAnsi="Arial"/>
                <w:color w:val="4A5568"/>
                <w:sz w:val="18"/>
                <w:szCs w:val="18"/>
              </w:rPr>
              <w:t xml:space="preserve">Art. 700 c.p.c. (tutela cautelare d’urgenza ante causam o in corso di causa)</w:t>
            </w:r>
          </w:p>
        </w:tc>
      </w:tr>
      <w:tr>
        <w:tc>
          <w:tcPr>
            <w:tcW w:type="dxa" w:w="2400"/>
            <w:tcBorders>
              <w:top w:val="single" w:color="D0D8E0" w:sz="1"/>
              <w:left w:val="single" w:color="D0D8E0" w:sz="1"/>
              <w:bottom w:val="single" w:color="D0D8E0" w:sz="1"/>
              <w:right w:val="single" w:color="D0D8E0" w:sz="1"/>
            </w:tcBorders>
            <w:shd w:fill="F2F6FA" w:val="clear"/>
            <w:tcMar>
              <w:top w:type="dxa" w:w="70"/>
              <w:left w:type="dxa" w:w="120"/>
              <w:bottom w:type="dxa" w:w="70"/>
              <w:right w:type="dxa" w:w="120"/>
            </w:tcMar>
            <w:vAlign w:val="top"/>
          </w:tcPr>
          <w:p>
            <w:pPr>
              <w:spacing w:after="0" w:before="0"/>
            </w:pPr>
            <w:r>
              <w:rPr>
                <w:rFonts w:ascii="Arial" w:cs="Arial" w:eastAsia="Arial" w:hAnsi="Arial"/>
                <w:b/>
                <w:bCs/>
                <w:color w:val="1A2E4A"/>
                <w:sz w:val="18"/>
                <w:szCs w:val="18"/>
              </w:rPr>
              <w:t xml:space="preserve">Contenuto</w:t>
            </w:r>
          </w:p>
        </w:tc>
        <w:tc>
          <w:tcPr>
            <w:tcW w:type="dxa" w:w="6860"/>
            <w:tcBorders>
              <w:top w:val="single" w:color="D0D8E0" w:sz="1"/>
              <w:left w:val="single" w:color="D0D8E0" w:sz="1"/>
              <w:bottom w:val="single" w:color="D0D8E0" w:sz="1"/>
              <w:right w:val="single" w:color="D0D8E0" w:sz="1"/>
            </w:tcBorders>
            <w:tcMar>
              <w:top w:type="dxa" w:w="70"/>
              <w:left w:type="dxa" w:w="120"/>
              <w:bottom w:type="dxa" w:w="70"/>
              <w:right w:type="dxa" w:w="120"/>
            </w:tcMar>
            <w:vAlign w:val="top"/>
          </w:tcPr>
          <w:p>
            <w:pPr>
              <w:spacing w:after="40" w:before="0"/>
            </w:pPr>
            <w:r>
              <w:rPr>
                <w:rFonts w:ascii="Arial" w:cs="Arial" w:eastAsia="Arial" w:hAnsi="Arial"/>
                <w:color w:val="4A5568"/>
                <w:sz w:val="18"/>
                <w:szCs w:val="18"/>
              </w:rPr>
              <w:t xml:space="preserve">Ordine di immediata rimozione dei contenuti non autorizzati (inibitoria)</w:t>
            </w:r>
          </w:p>
          <w:p>
            <w:pPr>
              <w:spacing w:after="40" w:before="0"/>
            </w:pPr>
            <w:r>
              <w:rPr>
                <w:rFonts w:ascii="Arial" w:cs="Arial" w:eastAsia="Arial" w:hAnsi="Arial"/>
                <w:color w:val="4A5568"/>
                <w:sz w:val="18"/>
                <w:szCs w:val="18"/>
              </w:rPr>
              <w:t xml:space="preserve">Ordine di cancellazione permanente dei file originari e delle copie di backup</w:t>
            </w:r>
          </w:p>
          <w:p>
            <w:pPr>
              <w:spacing w:after="40" w:before="0"/>
            </w:pPr>
            <w:r>
              <w:rPr>
                <w:rFonts w:ascii="Arial" w:cs="Arial" w:eastAsia="Arial" w:hAnsi="Arial"/>
                <w:color w:val="4A5568"/>
                <w:sz w:val="18"/>
                <w:szCs w:val="18"/>
              </w:rPr>
              <w:t xml:space="preserve">Divieto di futura ripubblicazione del medesimo materiale</w:t>
            </w:r>
          </w:p>
          <w:p>
            <w:pPr>
              <w:spacing w:after="40" w:before="0"/>
            </w:pPr>
            <w:r>
              <w:rPr>
                <w:rFonts w:ascii="Arial" w:cs="Arial" w:eastAsia="Arial" w:hAnsi="Arial"/>
                <w:color w:val="4A5568"/>
                <w:sz w:val="18"/>
                <w:szCs w:val="18"/>
              </w:rPr>
              <w:t xml:space="preserve">Eventuale ordine di rettifica pubblica</w:t>
            </w:r>
          </w:p>
        </w:tc>
      </w:tr>
      <w:tr>
        <w:tc>
          <w:tcPr>
            <w:tcW w:type="dxa" w:w="2400"/>
            <w:tcBorders>
              <w:top w:val="single" w:color="D0D8E0" w:sz="1"/>
              <w:left w:val="single" w:color="D0D8E0" w:sz="1"/>
              <w:bottom w:val="single" w:color="D0D8E0" w:sz="1"/>
              <w:right w:val="single" w:color="D0D8E0" w:sz="1"/>
            </w:tcBorders>
            <w:shd w:fill="F2F6FA" w:val="clear"/>
            <w:tcMar>
              <w:top w:type="dxa" w:w="70"/>
              <w:left w:type="dxa" w:w="120"/>
              <w:bottom w:type="dxa" w:w="70"/>
              <w:right w:type="dxa" w:w="120"/>
            </w:tcMar>
            <w:vAlign w:val="top"/>
          </w:tcPr>
          <w:p>
            <w:pPr>
              <w:spacing w:after="0" w:before="0"/>
            </w:pPr>
            <w:r>
              <w:rPr>
                <w:rFonts w:ascii="Arial" w:cs="Arial" w:eastAsia="Arial" w:hAnsi="Arial"/>
                <w:b/>
                <w:bCs/>
                <w:color w:val="1A2E4A"/>
                <w:sz w:val="18"/>
                <w:szCs w:val="18"/>
              </w:rPr>
              <w:t xml:space="preserve">Urgenza cautelare</w:t>
            </w:r>
          </w:p>
        </w:tc>
        <w:tc>
          <w:tcPr>
            <w:tcW w:type="dxa" w:w="6860"/>
            <w:tcBorders>
              <w:top w:val="single" w:color="D0D8E0" w:sz="1"/>
              <w:left w:val="single" w:color="D0D8E0" w:sz="1"/>
              <w:bottom w:val="single" w:color="D0D8E0" w:sz="1"/>
              <w:right w:val="single" w:color="D0D8E0" w:sz="1"/>
            </w:tcBorders>
            <w:tcMar>
              <w:top w:type="dxa" w:w="70"/>
              <w:left w:type="dxa" w:w="120"/>
              <w:bottom w:type="dxa" w:w="70"/>
              <w:right w:type="dxa" w:w="120"/>
            </w:tcMar>
            <w:vAlign w:val="top"/>
          </w:tcPr>
          <w:p>
            <w:pPr>
              <w:spacing w:after="40" w:before="0"/>
            </w:pPr>
            <w:r>
              <w:rPr>
                <w:rFonts w:ascii="Arial" w:cs="Arial" w:eastAsia="Arial" w:hAnsi="Arial"/>
                <w:color w:val="4A5568"/>
                <w:sz w:val="18"/>
                <w:szCs w:val="18"/>
              </w:rPr>
              <w:t xml:space="preserve">Ove permanga la diffusione online, è possibile richiedere provvedimento d’urgenza ex art. 700 c.p.c. inaudita altera parte, con esecuzione immediata. Presupposti: fumus boni iuris (alta in questi casi) + periculum in mora (dimostrato dalla permanenza del contenuto).</w:t>
            </w:r>
          </w:p>
        </w:tc>
      </w:tr>
      <w:tr>
        <w:tc>
          <w:tcPr>
            <w:tcW w:type="dxa" w:w="2400"/>
            <w:tcBorders>
              <w:top w:val="single" w:color="D0D8E0" w:sz="1"/>
              <w:left w:val="single" w:color="D0D8E0" w:sz="1"/>
              <w:bottom w:val="single" w:color="D0D8E0" w:sz="1"/>
              <w:right w:val="single" w:color="D0D8E0" w:sz="1"/>
            </w:tcBorders>
            <w:shd w:fill="F2F6FA" w:val="clear"/>
            <w:tcMar>
              <w:top w:type="dxa" w:w="70"/>
              <w:left w:type="dxa" w:w="120"/>
              <w:bottom w:type="dxa" w:w="70"/>
              <w:right w:type="dxa" w:w="120"/>
            </w:tcMar>
            <w:vAlign w:val="top"/>
          </w:tcPr>
          <w:p>
            <w:pPr>
              <w:spacing w:after="0" w:before="0"/>
            </w:pPr>
            <w:r>
              <w:rPr>
                <w:rFonts w:ascii="Arial" w:cs="Arial" w:eastAsia="Arial" w:hAnsi="Arial"/>
                <w:b/>
                <w:bCs/>
                <w:color w:val="1A2E4A"/>
                <w:sz w:val="18"/>
                <w:szCs w:val="18"/>
              </w:rPr>
              <w:t xml:space="preserve">Sede</w:t>
            </w:r>
          </w:p>
        </w:tc>
        <w:tc>
          <w:tcPr>
            <w:tcW w:type="dxa" w:w="6860"/>
            <w:tcBorders>
              <w:top w:val="single" w:color="D0D8E0" w:sz="1"/>
              <w:left w:val="single" w:color="D0D8E0" w:sz="1"/>
              <w:bottom w:val="single" w:color="D0D8E0" w:sz="1"/>
              <w:right w:val="single" w:color="D0D8E0" w:sz="1"/>
            </w:tcBorders>
            <w:tcMar>
              <w:top w:type="dxa" w:w="70"/>
              <w:left w:type="dxa" w:w="120"/>
              <w:bottom w:type="dxa" w:w="70"/>
              <w:right w:type="dxa" w:w="120"/>
            </w:tcMar>
            <w:vAlign w:val="top"/>
          </w:tcPr>
          <w:p>
            <w:pPr>
              <w:spacing w:after="40" w:before="0"/>
            </w:pPr>
            <w:r>
              <w:rPr>
                <w:rFonts w:ascii="Arial" w:cs="Arial" w:eastAsia="Arial" w:hAnsi="Arial"/>
                <w:color w:val="4A5568"/>
                <w:sz w:val="18"/>
                <w:szCs w:val="18"/>
              </w:rPr>
              <w:t xml:space="preserve">Tribunale civile. In via cautelare: sezione specializzata IP o monocratico, secondo le norme di competenza.</w:t>
            </w:r>
          </w:p>
        </w:tc>
      </w:tr>
    </w:tbl>
    <w:p>
      <w:pPr>
        <w:spacing w:after="0" w:before="120"/>
      </w:pPr>
    </w:p>
    <w:tbl>
      <w:tblPr>
        <w:tblW w:type="dxa" w:w="9260"/>
        <w:tblBorders>
          <w:top w:val="single" w:color="auto" w:sz="4"/>
          <w:left w:val="single" w:color="auto" w:sz="4"/>
          <w:bottom w:val="single" w:color="auto" w:sz="4"/>
          <w:right w:val="single" w:color="auto" w:sz="4"/>
          <w:insideH w:val="single" w:color="auto" w:sz="4"/>
          <w:insideV w:val="single" w:color="auto" w:sz="4"/>
        </w:tblBorders>
      </w:tblPr>
      <w:tblGrid>
        <w:gridCol w:w="2400"/>
        <w:gridCol w:w="6860"/>
      </w:tblGrid>
      <w:tr>
        <w:tc>
          <w:tcPr>
            <w:tcW w:type="dxa" w:w="9260"/>
            <w:gridSpan w:val="2"/>
            <w:tcBorders>
              <w:top w:val="none" w:color="FFFFFF" w:sz="0"/>
              <w:left w:val="none" w:color="FFFFFF" w:sz="0"/>
              <w:bottom w:val="none" w:color="FFFFFF" w:sz="0"/>
              <w:right w:val="none" w:color="FFFFFF" w:sz="0"/>
            </w:tcBorders>
            <w:shd w:fill="1A2E4A" w:val="clear"/>
            <w:tcMar>
              <w:top w:type="dxa" w:w="80"/>
              <w:left w:type="dxa" w:w="140"/>
              <w:bottom w:type="dxa" w:w="80"/>
              <w:right w:type="dxa" w:w="140"/>
            </w:tcMar>
          </w:tcPr>
          <w:p>
            <w:pPr>
              <w:spacing w:after="0" w:before="0"/>
            </w:pPr>
            <w:r>
              <w:rPr>
                <w:rFonts w:ascii="Arial" w:cs="Arial" w:eastAsia="Arial" w:hAnsi="Arial"/>
                <w:b/>
                <w:bCs/>
                <w:color w:val="FFFFFF"/>
                <w:sz w:val="22"/>
                <w:szCs w:val="22"/>
              </w:rPr>
              <w:t xml:space="preserve">VII  </w:t>
            </w:r>
            <w:r>
              <w:rPr>
                <w:rFonts w:ascii="Arial" w:cs="Arial" w:eastAsia="Arial" w:hAnsi="Arial"/>
                <w:b/>
                <w:bCs/>
                <w:color w:val="FFFFFF"/>
                <w:sz w:val="22"/>
                <w:szCs w:val="22"/>
              </w:rPr>
              <w:t xml:space="preserve">Reclamo al Garante per la Protezione dei Dati Personali</w:t>
            </w:r>
          </w:p>
        </w:tc>
      </w:tr>
      <w:tr>
        <w:tc>
          <w:tcPr>
            <w:tcW w:type="dxa" w:w="2400"/>
            <w:tcBorders>
              <w:top w:val="single" w:color="D0D8E0" w:sz="1"/>
              <w:left w:val="single" w:color="D0D8E0" w:sz="1"/>
              <w:bottom w:val="single" w:color="D0D8E0" w:sz="1"/>
              <w:right w:val="single" w:color="D0D8E0" w:sz="1"/>
            </w:tcBorders>
            <w:shd w:fill="F2F6FA" w:val="clear"/>
            <w:tcMar>
              <w:top w:type="dxa" w:w="70"/>
              <w:left w:type="dxa" w:w="120"/>
              <w:bottom w:type="dxa" w:w="70"/>
              <w:right w:type="dxa" w:w="120"/>
            </w:tcMar>
            <w:vAlign w:val="top"/>
          </w:tcPr>
          <w:p>
            <w:pPr>
              <w:spacing w:after="0" w:before="0"/>
            </w:pPr>
            <w:r>
              <w:rPr>
                <w:rFonts w:ascii="Arial" w:cs="Arial" w:eastAsia="Arial" w:hAnsi="Arial"/>
                <w:b/>
                <w:bCs/>
                <w:color w:val="1A2E4A"/>
                <w:sz w:val="18"/>
                <w:szCs w:val="18"/>
              </w:rPr>
              <w:t xml:space="preserve">Fondamento sostanziale</w:t>
            </w:r>
          </w:p>
        </w:tc>
        <w:tc>
          <w:tcPr>
            <w:tcW w:type="dxa" w:w="6860"/>
            <w:tcBorders>
              <w:top w:val="single" w:color="D0D8E0" w:sz="1"/>
              <w:left w:val="single" w:color="D0D8E0" w:sz="1"/>
              <w:bottom w:val="single" w:color="D0D8E0" w:sz="1"/>
              <w:right w:val="single" w:color="D0D8E0" w:sz="1"/>
            </w:tcBorders>
            <w:tcMar>
              <w:top w:type="dxa" w:w="70"/>
              <w:left w:type="dxa" w:w="120"/>
              <w:bottom w:type="dxa" w:w="70"/>
              <w:right w:type="dxa" w:w="120"/>
            </w:tcMar>
            <w:vAlign w:val="top"/>
          </w:tcPr>
          <w:p>
            <w:pPr>
              <w:spacing w:after="40" w:before="0"/>
            </w:pPr>
            <w:r>
              <w:rPr>
                <w:rFonts w:ascii="Arial" w:cs="Arial" w:eastAsia="Arial" w:hAnsi="Arial"/>
                <w:color w:val="4A5568"/>
                <w:sz w:val="18"/>
                <w:szCs w:val="18"/>
              </w:rPr>
              <w:t xml:space="preserve">Artt. 77 e 58 Reg. UE 2016/679</w:t>
            </w:r>
          </w:p>
          <w:p>
            <w:pPr>
              <w:spacing w:after="40" w:before="0"/>
            </w:pPr>
            <w:r>
              <w:rPr>
                <w:rFonts w:ascii="Arial" w:cs="Arial" w:eastAsia="Arial" w:hAnsi="Arial"/>
                <w:color w:val="4A5568"/>
                <w:sz w:val="18"/>
                <w:szCs w:val="18"/>
              </w:rPr>
              <w:t xml:space="preserve">Artt. 140-bis ss. D.Lgs. 196/2003</w:t>
            </w:r>
          </w:p>
        </w:tc>
      </w:tr>
      <w:tr>
        <w:tc>
          <w:tcPr>
            <w:tcW w:type="dxa" w:w="2400"/>
            <w:tcBorders>
              <w:top w:val="single" w:color="D0D8E0" w:sz="1"/>
              <w:left w:val="single" w:color="D0D8E0" w:sz="1"/>
              <w:bottom w:val="single" w:color="D0D8E0" w:sz="1"/>
              <w:right w:val="single" w:color="D0D8E0" w:sz="1"/>
            </w:tcBorders>
            <w:shd w:fill="F2F6FA" w:val="clear"/>
            <w:tcMar>
              <w:top w:type="dxa" w:w="70"/>
              <w:left w:type="dxa" w:w="120"/>
              <w:bottom w:type="dxa" w:w="70"/>
              <w:right w:type="dxa" w:w="120"/>
            </w:tcMar>
            <w:vAlign w:val="top"/>
          </w:tcPr>
          <w:p>
            <w:pPr>
              <w:spacing w:after="0" w:before="0"/>
            </w:pPr>
            <w:r>
              <w:rPr>
                <w:rFonts w:ascii="Arial" w:cs="Arial" w:eastAsia="Arial" w:hAnsi="Arial"/>
                <w:b/>
                <w:bCs/>
                <w:color w:val="1A2E4A"/>
                <w:sz w:val="18"/>
                <w:szCs w:val="18"/>
              </w:rPr>
              <w:t xml:space="preserve">Contenuto e obiettivi</w:t>
            </w:r>
          </w:p>
        </w:tc>
        <w:tc>
          <w:tcPr>
            <w:tcW w:type="dxa" w:w="6860"/>
            <w:tcBorders>
              <w:top w:val="single" w:color="D0D8E0" w:sz="1"/>
              <w:left w:val="single" w:color="D0D8E0" w:sz="1"/>
              <w:bottom w:val="single" w:color="D0D8E0" w:sz="1"/>
              <w:right w:val="single" w:color="D0D8E0" w:sz="1"/>
            </w:tcBorders>
            <w:tcMar>
              <w:top w:type="dxa" w:w="70"/>
              <w:left w:type="dxa" w:w="120"/>
              <w:bottom w:type="dxa" w:w="70"/>
              <w:right w:type="dxa" w:w="120"/>
            </w:tcMar>
            <w:vAlign w:val="top"/>
          </w:tcPr>
          <w:p>
            <w:pPr>
              <w:spacing w:after="40" w:before="0"/>
            </w:pPr>
            <w:r>
              <w:rPr>
                <w:rFonts w:ascii="Arial" w:cs="Arial" w:eastAsia="Arial" w:hAnsi="Arial"/>
                <w:color w:val="4A5568"/>
                <w:sz w:val="18"/>
                <w:szCs w:val="18"/>
              </w:rPr>
              <w:t xml:space="preserve">Accertamento amministrativo dell’illecito</w:t>
            </w:r>
          </w:p>
          <w:p>
            <w:pPr>
              <w:spacing w:after="40" w:before="0"/>
            </w:pPr>
            <w:r>
              <w:rPr>
                <w:rFonts w:ascii="Arial" w:cs="Arial" w:eastAsia="Arial" w:hAnsi="Arial"/>
                <w:color w:val="4A5568"/>
                <w:sz w:val="18"/>
                <w:szCs w:val="18"/>
              </w:rPr>
              <w:t xml:space="preserve">Irrogazione di sanzioni amministrative ex art. 83 GDPR (fino al 4% del fatturato mondiale)</w:t>
            </w:r>
          </w:p>
          <w:p>
            <w:pPr>
              <w:spacing w:after="40" w:before="0"/>
            </w:pPr>
            <w:r>
              <w:rPr>
                <w:rFonts w:ascii="Arial" w:cs="Arial" w:eastAsia="Arial" w:hAnsi="Arial"/>
                <w:color w:val="4A5568"/>
                <w:sz w:val="18"/>
                <w:szCs w:val="18"/>
              </w:rPr>
              <w:t xml:space="preserve">Adozione di misure correttive ex art. 58 GDPR (ammonimento, limitazione del trattamento, cancellazione)</w:t>
            </w:r>
          </w:p>
        </w:tc>
      </w:tr>
      <w:tr>
        <w:tc>
          <w:tcPr>
            <w:tcW w:type="dxa" w:w="2400"/>
            <w:tcBorders>
              <w:top w:val="single" w:color="D0D8E0" w:sz="1"/>
              <w:left w:val="single" w:color="D0D8E0" w:sz="1"/>
              <w:bottom w:val="single" w:color="D0D8E0" w:sz="1"/>
              <w:right w:val="single" w:color="D0D8E0" w:sz="1"/>
            </w:tcBorders>
            <w:shd w:fill="F2F6FA" w:val="clear"/>
            <w:tcMar>
              <w:top w:type="dxa" w:w="70"/>
              <w:left w:type="dxa" w:w="120"/>
              <w:bottom w:type="dxa" w:w="70"/>
              <w:right w:type="dxa" w:w="120"/>
            </w:tcMar>
            <w:vAlign w:val="top"/>
          </w:tcPr>
          <w:p>
            <w:pPr>
              <w:spacing w:after="0" w:before="0"/>
            </w:pPr>
            <w:r>
              <w:rPr>
                <w:rFonts w:ascii="Arial" w:cs="Arial" w:eastAsia="Arial" w:hAnsi="Arial"/>
                <w:b/>
                <w:bCs/>
                <w:color w:val="1A2E4A"/>
                <w:sz w:val="18"/>
                <w:szCs w:val="18"/>
              </w:rPr>
              <w:t xml:space="preserve">Funzione nella strategia complessiva</w:t>
            </w:r>
          </w:p>
        </w:tc>
        <w:tc>
          <w:tcPr>
            <w:tcW w:type="dxa" w:w="6860"/>
            <w:tcBorders>
              <w:top w:val="single" w:color="D0D8E0" w:sz="1"/>
              <w:left w:val="single" w:color="D0D8E0" w:sz="1"/>
              <w:bottom w:val="single" w:color="D0D8E0" w:sz="1"/>
              <w:right w:val="single" w:color="D0D8E0" w:sz="1"/>
            </w:tcBorders>
            <w:tcMar>
              <w:top w:type="dxa" w:w="70"/>
              <w:left w:type="dxa" w:w="120"/>
              <w:bottom w:type="dxa" w:w="70"/>
              <w:right w:type="dxa" w:w="120"/>
            </w:tcMar>
            <w:vAlign w:val="top"/>
          </w:tcPr>
          <w:p>
            <w:pPr>
              <w:spacing w:after="40" w:before="0"/>
            </w:pPr>
            <w:r>
              <w:rPr>
                <w:rFonts w:ascii="Arial" w:cs="Arial" w:eastAsia="Arial" w:hAnsi="Arial"/>
                <w:color w:val="4A5568"/>
                <w:sz w:val="18"/>
                <w:szCs w:val="18"/>
              </w:rPr>
              <w:t xml:space="preserve">Rimedio complementare, non alternativo, alla tutela giudiziale civile. Il provvedimento del Garante favorevole costituisce elemento presuntivo utilizzabile in giudizio. Non richiede patrocinio legale (benche’ consigliabile). Gratuito.</w:t>
            </w:r>
          </w:p>
        </w:tc>
      </w:tr>
      <w:tr>
        <w:tc>
          <w:tcPr>
            <w:tcW w:type="dxa" w:w="2400"/>
            <w:tcBorders>
              <w:top w:val="single" w:color="D0D8E0" w:sz="1"/>
              <w:left w:val="single" w:color="D0D8E0" w:sz="1"/>
              <w:bottom w:val="single" w:color="D0D8E0" w:sz="1"/>
              <w:right w:val="single" w:color="D0D8E0" w:sz="1"/>
            </w:tcBorders>
            <w:shd w:fill="F2F6FA" w:val="clear"/>
            <w:tcMar>
              <w:top w:type="dxa" w:w="70"/>
              <w:left w:type="dxa" w:w="120"/>
              <w:bottom w:type="dxa" w:w="70"/>
              <w:right w:type="dxa" w:w="120"/>
            </w:tcMar>
            <w:vAlign w:val="top"/>
          </w:tcPr>
          <w:p>
            <w:pPr>
              <w:spacing w:after="0" w:before="0"/>
            </w:pPr>
            <w:r>
              <w:rPr>
                <w:rFonts w:ascii="Arial" w:cs="Arial" w:eastAsia="Arial" w:hAnsi="Arial"/>
                <w:b/>
                <w:bCs/>
                <w:color w:val="1A2E4A"/>
                <w:sz w:val="18"/>
                <w:szCs w:val="18"/>
              </w:rPr>
              <w:t xml:space="preserve">Termine</w:t>
            </w:r>
          </w:p>
        </w:tc>
        <w:tc>
          <w:tcPr>
            <w:tcW w:type="dxa" w:w="6860"/>
            <w:tcBorders>
              <w:top w:val="single" w:color="D0D8E0" w:sz="1"/>
              <w:left w:val="single" w:color="D0D8E0" w:sz="1"/>
              <w:bottom w:val="single" w:color="D0D8E0" w:sz="1"/>
              <w:right w:val="single" w:color="D0D8E0" w:sz="1"/>
            </w:tcBorders>
            <w:tcMar>
              <w:top w:type="dxa" w:w="70"/>
              <w:left w:type="dxa" w:w="120"/>
              <w:bottom w:type="dxa" w:w="70"/>
              <w:right w:type="dxa" w:w="120"/>
            </w:tcMar>
            <w:vAlign w:val="top"/>
          </w:tcPr>
          <w:p>
            <w:pPr>
              <w:spacing w:after="40" w:before="0"/>
            </w:pPr>
            <w:r>
              <w:rPr>
                <w:rFonts w:ascii="Arial" w:cs="Arial" w:eastAsia="Arial" w:hAnsi="Arial"/>
                <w:color w:val="4A5568"/>
                <w:sz w:val="18"/>
                <w:szCs w:val="18"/>
              </w:rPr>
              <w:t xml:space="preserve">Non è previsto termine perentorio. Si consiglia il deposito in tempi ragionevoli dalla lesione, per preservare l’attualità della violazione e l’interesse del Garante all’azione.</w:t>
            </w:r>
          </w:p>
        </w:tc>
      </w:tr>
    </w:tbl>
    <w:p>
      <w:pPr>
        <w:spacing w:after="0" w:before="120"/>
      </w:pPr>
    </w:p>
    <w:tbl>
      <w:tblPr>
        <w:tblW w:type="dxa" w:w="9260"/>
        <w:tblBorders>
          <w:top w:val="single" w:color="auto" w:sz="4"/>
          <w:left w:val="single" w:color="auto" w:sz="4"/>
          <w:bottom w:val="single" w:color="auto" w:sz="4"/>
          <w:right w:val="single" w:color="auto" w:sz="4"/>
          <w:insideH w:val="single" w:color="auto" w:sz="4"/>
          <w:insideV w:val="single" w:color="auto" w:sz="4"/>
        </w:tblBorders>
      </w:tblPr>
      <w:tblGrid>
        <w:gridCol w:w="2400"/>
        <w:gridCol w:w="6860"/>
      </w:tblGrid>
      <w:tr>
        <w:tc>
          <w:tcPr>
            <w:tcW w:type="dxa" w:w="9260"/>
            <w:gridSpan w:val="2"/>
            <w:tcBorders>
              <w:top w:val="none" w:color="FFFFFF" w:sz="0"/>
              <w:left w:val="none" w:color="FFFFFF" w:sz="0"/>
              <w:bottom w:val="none" w:color="FFFFFF" w:sz="0"/>
              <w:right w:val="none" w:color="FFFFFF" w:sz="0"/>
            </w:tcBorders>
            <w:shd w:fill="C0392B" w:val="clear"/>
            <w:tcMar>
              <w:top w:type="dxa" w:w="80"/>
              <w:left w:type="dxa" w:w="140"/>
              <w:bottom w:type="dxa" w:w="80"/>
              <w:right w:type="dxa" w:w="140"/>
            </w:tcMar>
          </w:tcPr>
          <w:p>
            <w:pPr>
              <w:spacing w:after="0" w:before="0"/>
            </w:pPr>
            <w:r>
              <w:rPr>
                <w:rFonts w:ascii="Arial" w:cs="Arial" w:eastAsia="Arial" w:hAnsi="Arial"/>
                <w:b/>
                <w:bCs/>
                <w:color w:val="FFFFFF"/>
                <w:sz w:val="22"/>
                <w:szCs w:val="22"/>
              </w:rPr>
              <w:t xml:space="preserve">VIII  </w:t>
            </w:r>
            <w:r>
              <w:rPr>
                <w:rFonts w:ascii="Arial" w:cs="Arial" w:eastAsia="Arial" w:hAnsi="Arial"/>
                <w:b/>
                <w:bCs/>
                <w:color w:val="FFFFFF"/>
                <w:sz w:val="22"/>
                <w:szCs w:val="22"/>
              </w:rPr>
              <w:t xml:space="preserve">Tutela penale — Trattamento illecito di dati personali</w:t>
            </w:r>
          </w:p>
        </w:tc>
      </w:tr>
      <w:tr>
        <w:tc>
          <w:tcPr>
            <w:tcW w:type="dxa" w:w="2400"/>
            <w:tcBorders>
              <w:top w:val="single" w:color="D0D8E0" w:sz="1"/>
              <w:left w:val="single" w:color="D0D8E0" w:sz="1"/>
              <w:bottom w:val="single" w:color="D0D8E0" w:sz="1"/>
              <w:right w:val="single" w:color="D0D8E0" w:sz="1"/>
            </w:tcBorders>
            <w:shd w:fill="F2F6FA" w:val="clear"/>
            <w:tcMar>
              <w:top w:type="dxa" w:w="70"/>
              <w:left w:type="dxa" w:w="120"/>
              <w:bottom w:type="dxa" w:w="70"/>
              <w:right w:type="dxa" w:w="120"/>
            </w:tcMar>
            <w:vAlign w:val="top"/>
          </w:tcPr>
          <w:p>
            <w:pPr>
              <w:spacing w:after="0" w:before="0"/>
            </w:pPr>
            <w:r>
              <w:rPr>
                <w:rFonts w:ascii="Arial" w:cs="Arial" w:eastAsia="Arial" w:hAnsi="Arial"/>
                <w:b/>
                <w:bCs/>
                <w:color w:val="1A2E4A"/>
                <w:sz w:val="18"/>
                <w:szCs w:val="18"/>
              </w:rPr>
              <w:t xml:space="preserve">Fondamento sostanziale</w:t>
            </w:r>
          </w:p>
        </w:tc>
        <w:tc>
          <w:tcPr>
            <w:tcW w:type="dxa" w:w="6860"/>
            <w:tcBorders>
              <w:top w:val="single" w:color="D0D8E0" w:sz="1"/>
              <w:left w:val="single" w:color="D0D8E0" w:sz="1"/>
              <w:bottom w:val="single" w:color="D0D8E0" w:sz="1"/>
              <w:right w:val="single" w:color="D0D8E0" w:sz="1"/>
            </w:tcBorders>
            <w:tcMar>
              <w:top w:type="dxa" w:w="70"/>
              <w:left w:type="dxa" w:w="120"/>
              <w:bottom w:type="dxa" w:w="70"/>
              <w:right w:type="dxa" w:w="120"/>
            </w:tcMar>
            <w:vAlign w:val="top"/>
          </w:tcPr>
          <w:p>
            <w:pPr>
              <w:spacing w:after="40" w:before="0"/>
            </w:pPr>
            <w:r>
              <w:rPr>
                <w:rFonts w:ascii="Arial" w:cs="Arial" w:eastAsia="Arial" w:hAnsi="Arial"/>
                <w:color w:val="4A5568"/>
                <w:sz w:val="18"/>
                <w:szCs w:val="18"/>
              </w:rPr>
              <w:t xml:space="preserve">Art. 167, commi 1 e 2, D.Lgs. 196/2003 (trattamento illecito di dati)</w:t>
            </w:r>
          </w:p>
          <w:p>
            <w:pPr>
              <w:spacing w:after="40" w:before="0"/>
            </w:pPr>
            <w:r>
              <w:rPr>
                <w:rFonts w:ascii="Arial" w:cs="Arial" w:eastAsia="Arial" w:hAnsi="Arial"/>
                <w:color w:val="4A5568"/>
                <w:sz w:val="18"/>
                <w:szCs w:val="18"/>
              </w:rPr>
              <w:t xml:space="preserve">Artt. 594–595 c.p. (ingiuria/diffamazione, ove ricorrano i relativi estremi)</w:t>
            </w:r>
          </w:p>
        </w:tc>
      </w:tr>
      <w:tr>
        <w:tc>
          <w:tcPr>
            <w:tcW w:type="dxa" w:w="2400"/>
            <w:tcBorders>
              <w:top w:val="single" w:color="D0D8E0" w:sz="1"/>
              <w:left w:val="single" w:color="D0D8E0" w:sz="1"/>
              <w:bottom w:val="single" w:color="D0D8E0" w:sz="1"/>
              <w:right w:val="single" w:color="D0D8E0" w:sz="1"/>
            </w:tcBorders>
            <w:shd w:fill="F2F6FA" w:val="clear"/>
            <w:tcMar>
              <w:top w:type="dxa" w:w="70"/>
              <w:left w:type="dxa" w:w="120"/>
              <w:bottom w:type="dxa" w:w="70"/>
              <w:right w:type="dxa" w:w="120"/>
            </w:tcMar>
            <w:vAlign w:val="top"/>
          </w:tcPr>
          <w:p>
            <w:pPr>
              <w:spacing w:after="0" w:before="0"/>
            </w:pPr>
            <w:r>
              <w:rPr>
                <w:rFonts w:ascii="Arial" w:cs="Arial" w:eastAsia="Arial" w:hAnsi="Arial"/>
                <w:b/>
                <w:bCs/>
                <w:color w:val="1A2E4A"/>
                <w:sz w:val="18"/>
                <w:szCs w:val="18"/>
              </w:rPr>
              <w:t xml:space="preserve">Presupposti</w:t>
            </w:r>
          </w:p>
        </w:tc>
        <w:tc>
          <w:tcPr>
            <w:tcW w:type="dxa" w:w="6860"/>
            <w:tcBorders>
              <w:top w:val="single" w:color="D0D8E0" w:sz="1"/>
              <w:left w:val="single" w:color="D0D8E0" w:sz="1"/>
              <w:bottom w:val="single" w:color="D0D8E0" w:sz="1"/>
              <w:right w:val="single" w:color="D0D8E0" w:sz="1"/>
            </w:tcBorders>
            <w:tcMar>
              <w:top w:type="dxa" w:w="70"/>
              <w:left w:type="dxa" w:w="120"/>
              <w:bottom w:type="dxa" w:w="70"/>
              <w:right w:type="dxa" w:w="120"/>
            </w:tcMar>
            <w:vAlign w:val="top"/>
          </w:tcPr>
          <w:p>
            <w:pPr>
              <w:spacing w:after="40" w:before="0"/>
            </w:pPr>
            <w:r>
              <w:rPr>
                <w:rFonts w:ascii="Arial" w:cs="Arial" w:eastAsia="Arial" w:hAnsi="Arial"/>
                <w:color w:val="4A5568"/>
                <w:sz w:val="18"/>
                <w:szCs w:val="18"/>
              </w:rPr>
              <w:t xml:space="preserve">Trattamento illecito di dati personali con finalità di profitto o di recare danno + nocumento all’interessato (anche non patrimoniale). Il requisito del “nocumento” deve essere valutato in concreto (Cass. pen., Sez. III, n. 29683/2025).</w:t>
            </w:r>
          </w:p>
        </w:tc>
      </w:tr>
      <w:tr>
        <w:tc>
          <w:tcPr>
            <w:tcW w:type="dxa" w:w="2400"/>
            <w:tcBorders>
              <w:top w:val="single" w:color="D0D8E0" w:sz="1"/>
              <w:left w:val="single" w:color="D0D8E0" w:sz="1"/>
              <w:bottom w:val="single" w:color="D0D8E0" w:sz="1"/>
              <w:right w:val="single" w:color="D0D8E0" w:sz="1"/>
            </w:tcBorders>
            <w:shd w:fill="F2F6FA" w:val="clear"/>
            <w:tcMar>
              <w:top w:type="dxa" w:w="70"/>
              <w:left w:type="dxa" w:w="120"/>
              <w:bottom w:type="dxa" w:w="70"/>
              <w:right w:type="dxa" w:w="120"/>
            </w:tcMar>
            <w:vAlign w:val="top"/>
          </w:tcPr>
          <w:p>
            <w:pPr>
              <w:spacing w:after="0" w:before="0"/>
            </w:pPr>
            <w:r>
              <w:rPr>
                <w:rFonts w:ascii="Arial" w:cs="Arial" w:eastAsia="Arial" w:hAnsi="Arial"/>
                <w:b/>
                <w:bCs/>
                <w:color w:val="1A2E4A"/>
                <w:sz w:val="18"/>
                <w:szCs w:val="18"/>
              </w:rPr>
              <w:t xml:space="preserve">Strumento</w:t>
            </w:r>
          </w:p>
        </w:tc>
        <w:tc>
          <w:tcPr>
            <w:tcW w:type="dxa" w:w="6860"/>
            <w:tcBorders>
              <w:top w:val="single" w:color="D0D8E0" w:sz="1"/>
              <w:left w:val="single" w:color="D0D8E0" w:sz="1"/>
              <w:bottom w:val="single" w:color="D0D8E0" w:sz="1"/>
              <w:right w:val="single" w:color="D0D8E0" w:sz="1"/>
            </w:tcBorders>
            <w:tcMar>
              <w:top w:type="dxa" w:w="70"/>
              <w:left w:type="dxa" w:w="120"/>
              <w:bottom w:type="dxa" w:w="70"/>
              <w:right w:type="dxa" w:w="120"/>
            </w:tcMar>
            <w:vAlign w:val="top"/>
          </w:tcPr>
          <w:p>
            <w:pPr>
              <w:spacing w:after="40" w:before="0"/>
            </w:pPr>
            <w:r>
              <w:rPr>
                <w:rFonts w:ascii="Arial" w:cs="Arial" w:eastAsia="Arial" w:hAnsi="Arial"/>
                <w:color w:val="4A5568"/>
                <w:sz w:val="18"/>
                <w:szCs w:val="18"/>
              </w:rPr>
              <w:t xml:space="preserve">Querela di parte, da depositarsi entro il termine trimestrale ex art. 124 c.p. presso la Procura della Repubblica competente. Facoltà di successiva costituzione di parte civile (artt. 74 ss. c.p.p.).</w:t>
            </w:r>
          </w:p>
        </w:tc>
      </w:tr>
      <w:tr>
        <w:tc>
          <w:tcPr>
            <w:tcW w:type="dxa" w:w="2400"/>
            <w:tcBorders>
              <w:top w:val="single" w:color="D0D8E0" w:sz="1"/>
              <w:left w:val="single" w:color="D0D8E0" w:sz="1"/>
              <w:bottom w:val="single" w:color="D0D8E0" w:sz="1"/>
              <w:right w:val="single" w:color="D0D8E0" w:sz="1"/>
            </w:tcBorders>
            <w:shd w:fill="F2F6FA" w:val="clear"/>
            <w:tcMar>
              <w:top w:type="dxa" w:w="70"/>
              <w:left w:type="dxa" w:w="120"/>
              <w:bottom w:type="dxa" w:w="70"/>
              <w:right w:type="dxa" w:w="120"/>
            </w:tcMar>
            <w:vAlign w:val="top"/>
          </w:tcPr>
          <w:p>
            <w:pPr>
              <w:spacing w:after="0" w:before="0"/>
            </w:pPr>
            <w:r>
              <w:rPr>
                <w:rFonts w:ascii="Arial" w:cs="Arial" w:eastAsia="Arial" w:hAnsi="Arial"/>
                <w:b/>
                <w:bCs/>
                <w:color w:val="1A2E4A"/>
                <w:sz w:val="18"/>
                <w:szCs w:val="18"/>
              </w:rPr>
              <w:t xml:space="preserve">Valutazione di percorribilità</w:t>
            </w:r>
          </w:p>
        </w:tc>
        <w:tc>
          <w:tcPr>
            <w:tcW w:type="dxa" w:w="6860"/>
            <w:tcBorders>
              <w:top w:val="single" w:color="D0D8E0" w:sz="1"/>
              <w:left w:val="single" w:color="D0D8E0" w:sz="1"/>
              <w:bottom w:val="single" w:color="D0D8E0" w:sz="1"/>
              <w:right w:val="single" w:color="D0D8E0" w:sz="1"/>
            </w:tcBorders>
            <w:tcMar>
              <w:top w:type="dxa" w:w="70"/>
              <w:left w:type="dxa" w:w="120"/>
              <w:bottom w:type="dxa" w:w="70"/>
              <w:right w:type="dxa" w:w="120"/>
            </w:tcMar>
            <w:vAlign w:val="top"/>
          </w:tcPr>
          <w:p>
            <w:pPr>
              <w:spacing w:after="40" w:before="0"/>
            </w:pPr>
            <w:r>
              <w:rPr>
                <w:rFonts w:ascii="Arial" w:cs="Arial" w:eastAsia="Arial" w:hAnsi="Arial"/>
                <w:color w:val="4A5568"/>
                <w:sz w:val="18"/>
                <w:szCs w:val="18"/>
              </w:rPr>
              <w:t xml:space="preserve">La via penale è indicata quando: (i) il nocumento è qualificato e documentabile; (ii) vi è dolo o almeno coscienza e volontà della condotta; (iii) l’autore non è un ente pubblico agente istituzionalmente. Sconsigliata nei casi di condotta colposa o di enti pubblici in assenza di dolo.</w:t>
            </w:r>
          </w:p>
        </w:tc>
      </w:tr>
      <w:tr>
        <w:tc>
          <w:tcPr>
            <w:tcW w:type="dxa" w:w="2400"/>
            <w:tcBorders>
              <w:top w:val="single" w:color="D0D8E0" w:sz="1"/>
              <w:left w:val="single" w:color="D0D8E0" w:sz="1"/>
              <w:bottom w:val="single" w:color="D0D8E0" w:sz="1"/>
              <w:right w:val="single" w:color="D0D8E0" w:sz="1"/>
            </w:tcBorders>
            <w:shd w:fill="F2F6FA" w:val="clear"/>
            <w:tcMar>
              <w:top w:type="dxa" w:w="70"/>
              <w:left w:type="dxa" w:w="120"/>
              <w:bottom w:type="dxa" w:w="70"/>
              <w:right w:type="dxa" w:w="120"/>
            </w:tcMar>
            <w:vAlign w:val="top"/>
          </w:tcPr>
          <w:p>
            <w:pPr>
              <w:spacing w:after="0" w:before="0"/>
            </w:pPr>
            <w:r>
              <w:rPr>
                <w:rFonts w:ascii="Arial" w:cs="Arial" w:eastAsia="Arial" w:hAnsi="Arial"/>
                <w:b/>
                <w:bCs/>
                <w:color w:val="1A2E4A"/>
                <w:sz w:val="18"/>
                <w:szCs w:val="18"/>
              </w:rPr>
              <w:t xml:space="preserve">Interazione con il civile</w:t>
            </w:r>
          </w:p>
        </w:tc>
        <w:tc>
          <w:tcPr>
            <w:tcW w:type="dxa" w:w="6860"/>
            <w:tcBorders>
              <w:top w:val="single" w:color="D0D8E0" w:sz="1"/>
              <w:left w:val="single" w:color="D0D8E0" w:sz="1"/>
              <w:bottom w:val="single" w:color="D0D8E0" w:sz="1"/>
              <w:right w:val="single" w:color="D0D8E0" w:sz="1"/>
            </w:tcBorders>
            <w:tcMar>
              <w:top w:type="dxa" w:w="70"/>
              <w:left w:type="dxa" w:w="120"/>
              <w:bottom w:type="dxa" w:w="70"/>
              <w:right w:type="dxa" w:w="120"/>
            </w:tcMar>
            <w:vAlign w:val="top"/>
          </w:tcPr>
          <w:p>
            <w:pPr>
              <w:spacing w:after="40" w:before="0"/>
            </w:pPr>
            <w:r>
              <w:rPr>
                <w:rFonts w:ascii="Arial" w:cs="Arial" w:eastAsia="Arial" w:hAnsi="Arial"/>
                <w:color w:val="4A5568"/>
                <w:sz w:val="18"/>
                <w:szCs w:val="18"/>
              </w:rPr>
              <w:t xml:space="preserve">La costituzione di parte civile non pregiudica la domanda civile, ma la procedura penale sospende la causa civile (art. 75 c.p.p.). In genere si preferisce la tutela civile autonoma, più rapida ed efficace.</w:t>
            </w:r>
          </w:p>
        </w:tc>
      </w:tr>
    </w:tbl>
    <w:p>
      <w:pPr>
        <w:spacing w:after="0" w:before="120"/>
      </w:pPr>
    </w:p>
    <w:p>
      <w:r>
        <w:br w:type="page"/>
      </w:r>
    </w:p>
    <w:tbl>
      <w:tblPr>
        <w:tblW w:type="dxa" w:w="9260"/>
        <w:tblBorders>
          <w:top w:val="single" w:color="auto" w:sz="4"/>
          <w:left w:val="single" w:color="auto" w:sz="4"/>
          <w:bottom w:val="single" w:color="auto" w:sz="4"/>
          <w:right w:val="single" w:color="auto" w:sz="4"/>
          <w:insideH w:val="single" w:color="auto" w:sz="4"/>
          <w:insideV w:val="single" w:color="auto" w:sz="4"/>
        </w:tblBorders>
      </w:tblPr>
      <w:tblGrid>
        <w:gridCol w:w="2400"/>
        <w:gridCol w:w="6860"/>
      </w:tblGrid>
      <w:tr>
        <w:tc>
          <w:tcPr>
            <w:tcW w:type="dxa" w:w="9260"/>
            <w:gridSpan w:val="2"/>
            <w:tcBorders>
              <w:top w:val="none" w:color="FFFFFF" w:sz="0"/>
              <w:left w:val="none" w:color="FFFFFF" w:sz="0"/>
              <w:bottom w:val="none" w:color="FFFFFF" w:sz="0"/>
              <w:right w:val="none" w:color="FFFFFF" w:sz="0"/>
            </w:tcBorders>
            <w:shd w:fill="006B6B" w:val="clear"/>
            <w:tcMar>
              <w:top w:type="dxa" w:w="80"/>
              <w:left w:type="dxa" w:w="140"/>
              <w:bottom w:type="dxa" w:w="80"/>
              <w:right w:type="dxa" w:w="140"/>
            </w:tcMar>
          </w:tcPr>
          <w:p>
            <w:pPr>
              <w:spacing w:after="0" w:before="0"/>
            </w:pPr>
            <w:r>
              <w:rPr>
                <w:rFonts w:ascii="Arial" w:cs="Arial" w:eastAsia="Arial" w:hAnsi="Arial"/>
                <w:b/>
                <w:bCs/>
                <w:color w:val="FFFFFF"/>
                <w:sz w:val="22"/>
                <w:szCs w:val="22"/>
              </w:rPr>
              <w:t xml:space="preserve">IX  </w:t>
            </w:r>
            <w:r>
              <w:rPr>
                <w:rFonts w:ascii="Arial" w:cs="Arial" w:eastAsia="Arial" w:hAnsi="Arial"/>
                <w:b/>
                <w:bCs/>
                <w:color w:val="FFFFFF"/>
                <w:sz w:val="22"/>
                <w:szCs w:val="22"/>
              </w:rPr>
              <w:t xml:space="preserve">Trattativa stragiudiziale e composizione bonaria</w:t>
            </w:r>
          </w:p>
        </w:tc>
      </w:tr>
      <w:tr>
        <w:tc>
          <w:tcPr>
            <w:tcW w:type="dxa" w:w="2400"/>
            <w:tcBorders>
              <w:top w:val="single" w:color="D0D8E0" w:sz="1"/>
              <w:left w:val="single" w:color="D0D8E0" w:sz="1"/>
              <w:bottom w:val="single" w:color="D0D8E0" w:sz="1"/>
              <w:right w:val="single" w:color="D0D8E0" w:sz="1"/>
            </w:tcBorders>
            <w:shd w:fill="F2F6FA" w:val="clear"/>
            <w:tcMar>
              <w:top w:type="dxa" w:w="70"/>
              <w:left w:type="dxa" w:w="120"/>
              <w:bottom w:type="dxa" w:w="70"/>
              <w:right w:type="dxa" w:w="120"/>
            </w:tcMar>
            <w:vAlign w:val="top"/>
          </w:tcPr>
          <w:p>
            <w:pPr>
              <w:spacing w:after="0" w:before="0"/>
            </w:pPr>
            <w:r>
              <w:rPr>
                <w:rFonts w:ascii="Arial" w:cs="Arial" w:eastAsia="Arial" w:hAnsi="Arial"/>
                <w:b/>
                <w:bCs/>
                <w:color w:val="1A2E4A"/>
                <w:sz w:val="18"/>
                <w:szCs w:val="18"/>
              </w:rPr>
              <w:t xml:space="preserve">Fondamento sostanziale</w:t>
            </w:r>
          </w:p>
        </w:tc>
        <w:tc>
          <w:tcPr>
            <w:tcW w:type="dxa" w:w="6860"/>
            <w:tcBorders>
              <w:top w:val="single" w:color="D0D8E0" w:sz="1"/>
              <w:left w:val="single" w:color="D0D8E0" w:sz="1"/>
              <w:bottom w:val="single" w:color="D0D8E0" w:sz="1"/>
              <w:right w:val="single" w:color="D0D8E0" w:sz="1"/>
            </w:tcBorders>
            <w:tcMar>
              <w:top w:type="dxa" w:w="70"/>
              <w:left w:type="dxa" w:w="120"/>
              <w:bottom w:type="dxa" w:w="70"/>
              <w:right w:type="dxa" w:w="120"/>
            </w:tcMar>
            <w:vAlign w:val="top"/>
          </w:tcPr>
          <w:p>
            <w:pPr>
              <w:spacing w:after="40" w:before="0"/>
            </w:pPr>
            <w:r>
              <w:rPr>
                <w:rFonts w:ascii="Arial" w:cs="Arial" w:eastAsia="Arial" w:hAnsi="Arial"/>
                <w:color w:val="4A5568"/>
                <w:sz w:val="18"/>
                <w:szCs w:val="18"/>
              </w:rPr>
              <w:t xml:space="preserve">Art. 1965 c.c. (transazione)</w:t>
            </w:r>
          </w:p>
          <w:p>
            <w:pPr>
              <w:spacing w:after="40" w:before="0"/>
            </w:pPr>
            <w:r>
              <w:rPr>
                <w:rFonts w:ascii="Arial" w:cs="Arial" w:eastAsia="Arial" w:hAnsi="Arial"/>
                <w:color w:val="4A5568"/>
                <w:sz w:val="18"/>
                <w:szCs w:val="18"/>
              </w:rPr>
              <w:t xml:space="preserve">Artt. 2, 3 e 48 D.Lgs. 28/2010 (mediazione volontaria)</w:t>
            </w:r>
          </w:p>
          <w:p>
            <w:pPr>
              <w:spacing w:after="40" w:before="0"/>
            </w:pPr>
            <w:r>
              <w:rPr>
                <w:rFonts w:ascii="Arial" w:cs="Arial" w:eastAsia="Arial" w:hAnsi="Arial"/>
                <w:color w:val="4A5568"/>
                <w:sz w:val="18"/>
                <w:szCs w:val="18"/>
              </w:rPr>
              <w:t xml:space="preserve">Art. 5-quater D.Lgs. 28/2010 (mediazione demandata dal giudice)</w:t>
            </w:r>
          </w:p>
        </w:tc>
      </w:tr>
      <w:tr>
        <w:tc>
          <w:tcPr>
            <w:tcW w:type="dxa" w:w="2400"/>
            <w:tcBorders>
              <w:top w:val="single" w:color="D0D8E0" w:sz="1"/>
              <w:left w:val="single" w:color="D0D8E0" w:sz="1"/>
              <w:bottom w:val="single" w:color="D0D8E0" w:sz="1"/>
              <w:right w:val="single" w:color="D0D8E0" w:sz="1"/>
            </w:tcBorders>
            <w:shd w:fill="F2F6FA" w:val="clear"/>
            <w:tcMar>
              <w:top w:type="dxa" w:w="70"/>
              <w:left w:type="dxa" w:w="120"/>
              <w:bottom w:type="dxa" w:w="70"/>
              <w:right w:type="dxa" w:w="120"/>
            </w:tcMar>
            <w:vAlign w:val="top"/>
          </w:tcPr>
          <w:p>
            <w:pPr>
              <w:spacing w:after="0" w:before="0"/>
            </w:pPr>
            <w:r>
              <w:rPr>
                <w:rFonts w:ascii="Arial" w:cs="Arial" w:eastAsia="Arial" w:hAnsi="Arial"/>
                <w:b/>
                <w:bCs/>
                <w:color w:val="1A2E4A"/>
                <w:sz w:val="18"/>
                <w:szCs w:val="18"/>
              </w:rPr>
              <w:t xml:space="preserve">Strumenti</w:t>
            </w:r>
          </w:p>
        </w:tc>
        <w:tc>
          <w:tcPr>
            <w:tcW w:type="dxa" w:w="6860"/>
            <w:tcBorders>
              <w:top w:val="single" w:color="D0D8E0" w:sz="1"/>
              <w:left w:val="single" w:color="D0D8E0" w:sz="1"/>
              <w:bottom w:val="single" w:color="D0D8E0" w:sz="1"/>
              <w:right w:val="single" w:color="D0D8E0" w:sz="1"/>
            </w:tcBorders>
            <w:tcMar>
              <w:top w:type="dxa" w:w="70"/>
              <w:left w:type="dxa" w:w="120"/>
              <w:bottom w:type="dxa" w:w="70"/>
              <w:right w:type="dxa" w:w="120"/>
            </w:tcMar>
            <w:vAlign w:val="top"/>
          </w:tcPr>
          <w:p>
            <w:pPr>
              <w:spacing w:after="40" w:before="0"/>
            </w:pPr>
            <w:r>
              <w:rPr>
                <w:rFonts w:ascii="Arial" w:cs="Arial" w:eastAsia="Arial" w:hAnsi="Arial"/>
                <w:color w:val="4A5568"/>
                <w:sz w:val="18"/>
                <w:szCs w:val="18"/>
              </w:rPr>
              <w:t xml:space="preserve">Diffida stragiudiziale formale con termine di adempimento (15–30 giorni)</w:t>
            </w:r>
          </w:p>
          <w:p>
            <w:pPr>
              <w:spacing w:after="40" w:before="0"/>
            </w:pPr>
            <w:r>
              <w:rPr>
                <w:rFonts w:ascii="Arial" w:cs="Arial" w:eastAsia="Arial" w:hAnsi="Arial"/>
                <w:color w:val="4A5568"/>
                <w:sz w:val="18"/>
                <w:szCs w:val="18"/>
              </w:rPr>
              <w:t xml:space="preserve">Proposta transattiva con quantificazione delle pretese (patrimoniali + non patrimoniali + spese)</w:t>
            </w:r>
          </w:p>
          <w:p>
            <w:pPr>
              <w:spacing w:after="40" w:before="0"/>
            </w:pPr>
            <w:r>
              <w:rPr>
                <w:rFonts w:ascii="Arial" w:cs="Arial" w:eastAsia="Arial" w:hAnsi="Arial"/>
                <w:color w:val="4A5568"/>
                <w:sz w:val="18"/>
                <w:szCs w:val="18"/>
              </w:rPr>
              <w:t xml:space="preserve">Invito volontario a mediazione presso Organismo iscritto al Registro ex D.M. 180/2010</w:t>
            </w:r>
          </w:p>
        </w:tc>
      </w:tr>
      <w:tr>
        <w:tc>
          <w:tcPr>
            <w:tcW w:type="dxa" w:w="2400"/>
            <w:tcBorders>
              <w:top w:val="single" w:color="D0D8E0" w:sz="1"/>
              <w:left w:val="single" w:color="D0D8E0" w:sz="1"/>
              <w:bottom w:val="single" w:color="D0D8E0" w:sz="1"/>
              <w:right w:val="single" w:color="D0D8E0" w:sz="1"/>
            </w:tcBorders>
            <w:shd w:fill="F2F6FA" w:val="clear"/>
            <w:tcMar>
              <w:top w:type="dxa" w:w="70"/>
              <w:left w:type="dxa" w:w="120"/>
              <w:bottom w:type="dxa" w:w="70"/>
              <w:right w:type="dxa" w:w="120"/>
            </w:tcMar>
            <w:vAlign w:val="top"/>
          </w:tcPr>
          <w:p>
            <w:pPr>
              <w:spacing w:after="0" w:before="0"/>
            </w:pPr>
            <w:r>
              <w:rPr>
                <w:rFonts w:ascii="Arial" w:cs="Arial" w:eastAsia="Arial" w:hAnsi="Arial"/>
                <w:b/>
                <w:bCs/>
                <w:color w:val="1A2E4A"/>
                <w:sz w:val="18"/>
                <w:szCs w:val="18"/>
              </w:rPr>
              <w:t xml:space="preserve">Indicazioni di utilizzo</w:t>
            </w:r>
          </w:p>
        </w:tc>
        <w:tc>
          <w:tcPr>
            <w:tcW w:type="dxa" w:w="6860"/>
            <w:tcBorders>
              <w:top w:val="single" w:color="D0D8E0" w:sz="1"/>
              <w:left w:val="single" w:color="D0D8E0" w:sz="1"/>
              <w:bottom w:val="single" w:color="D0D8E0" w:sz="1"/>
              <w:right w:val="single" w:color="D0D8E0" w:sz="1"/>
            </w:tcBorders>
            <w:tcMar>
              <w:top w:type="dxa" w:w="70"/>
              <w:left w:type="dxa" w:w="120"/>
              <w:bottom w:type="dxa" w:w="70"/>
              <w:right w:type="dxa" w:w="120"/>
            </w:tcMar>
            <w:vAlign w:val="top"/>
          </w:tcPr>
          <w:p>
            <w:pPr>
              <w:spacing w:after="40" w:before="0"/>
            </w:pPr>
            <w:r>
              <w:rPr>
                <w:rFonts w:ascii="Arial" w:cs="Arial" w:eastAsia="Arial" w:hAnsi="Arial"/>
                <w:color w:val="4A5568"/>
                <w:sz w:val="18"/>
                <w:szCs w:val="18"/>
              </w:rPr>
              <w:t xml:space="preserve">Particolarmente indicata quando: (i) il convenuto è soggetto istituzionale (ente pubblico, azienda) che ha interesse a prevenire soccombenza giudiziale e pubblicita’ del processo; (ii) vi è ammissione implicita dei fatti; (iii) l’importo controverso è modesto rispetto ai costi del giudizio.</w:t>
            </w:r>
          </w:p>
        </w:tc>
      </w:tr>
      <w:tr>
        <w:tc>
          <w:tcPr>
            <w:tcW w:type="dxa" w:w="2400"/>
            <w:tcBorders>
              <w:top w:val="single" w:color="D0D8E0" w:sz="1"/>
              <w:left w:val="single" w:color="D0D8E0" w:sz="1"/>
              <w:bottom w:val="single" w:color="D0D8E0" w:sz="1"/>
              <w:right w:val="single" w:color="D0D8E0" w:sz="1"/>
            </w:tcBorders>
            <w:shd w:fill="F2F6FA" w:val="clear"/>
            <w:tcMar>
              <w:top w:type="dxa" w:w="70"/>
              <w:left w:type="dxa" w:w="120"/>
              <w:bottom w:type="dxa" w:w="70"/>
              <w:right w:type="dxa" w:w="120"/>
            </w:tcMar>
            <w:vAlign w:val="top"/>
          </w:tcPr>
          <w:p>
            <w:pPr>
              <w:spacing w:after="0" w:before="0"/>
            </w:pPr>
            <w:r>
              <w:rPr>
                <w:rFonts w:ascii="Arial" w:cs="Arial" w:eastAsia="Arial" w:hAnsi="Arial"/>
                <w:b/>
                <w:bCs/>
                <w:color w:val="1A2E4A"/>
                <w:sz w:val="18"/>
                <w:szCs w:val="18"/>
              </w:rPr>
              <w:t xml:space="preserve">Condizione di procedibilità</w:t>
            </w:r>
          </w:p>
        </w:tc>
        <w:tc>
          <w:tcPr>
            <w:tcW w:type="dxa" w:w="6860"/>
            <w:tcBorders>
              <w:top w:val="single" w:color="D0D8E0" w:sz="1"/>
              <w:left w:val="single" w:color="D0D8E0" w:sz="1"/>
              <w:bottom w:val="single" w:color="D0D8E0" w:sz="1"/>
              <w:right w:val="single" w:color="D0D8E0" w:sz="1"/>
            </w:tcBorders>
            <w:tcMar>
              <w:top w:type="dxa" w:w="70"/>
              <w:left w:type="dxa" w:w="120"/>
              <w:bottom w:type="dxa" w:w="70"/>
              <w:right w:type="dxa" w:w="120"/>
            </w:tcMar>
            <w:vAlign w:val="top"/>
          </w:tcPr>
          <w:p>
            <w:pPr>
              <w:spacing w:after="40" w:before="0"/>
            </w:pPr>
            <w:r>
              <w:rPr>
                <w:rFonts w:ascii="Arial" w:cs="Arial" w:eastAsia="Arial" w:hAnsi="Arial"/>
                <w:color w:val="4A5568"/>
                <w:sz w:val="18"/>
                <w:szCs w:val="18"/>
              </w:rPr>
              <w:t xml:space="preserve">Per le domande ex art. 82 GDPR azionate con rito del lavoro (art. 10 D.Lgs. 150/2011), la mediazione non è condizione di procedibilità (art. 5, co. 1-bis, D.Lgs. 28/2010 esclude le controversie ex D.Lgs. 150/2011).</w:t>
            </w:r>
          </w:p>
        </w:tc>
      </w:tr>
    </w:tbl>
    <w:p>
      <w:pPr>
        <w:spacing w:after="0" w:before="200"/>
      </w:pPr>
    </w:p>
    <w:p>
      <w:pPr>
        <w:pStyle w:val="Heading1"/>
      </w:pPr>
      <w:r>
        <w:rPr>
          <w:rFonts w:ascii="Arial" w:cs="Arial" w:eastAsia="Arial" w:hAnsi="Arial"/>
          <w:b/>
          <w:bCs/>
          <w:color w:val="1A2E4A"/>
          <w:sz w:val="32"/>
          <w:szCs w:val="32"/>
        </w:rPr>
        <w:t xml:space="preserve">Matrice decisionale — Quale strumento per quale obiettivo</w:t>
      </w:r>
    </w:p>
    <w:tbl>
      <w:tblPr>
        <w:tblW w:type="dxa" w:w="9260"/>
        <w:tblBorders>
          <w:top w:val="single" w:color="auto" w:sz="4"/>
          <w:left w:val="single" w:color="auto" w:sz="4"/>
          <w:bottom w:val="single" w:color="auto" w:sz="4"/>
          <w:right w:val="single" w:color="auto" w:sz="4"/>
          <w:insideH w:val="single" w:color="auto" w:sz="4"/>
          <w:insideV w:val="single" w:color="auto" w:sz="4"/>
        </w:tblBorders>
      </w:tblPr>
      <w:tblGrid>
        <w:gridCol w:w="3760"/>
        <w:gridCol w:w="4000"/>
        <w:gridCol w:w="1500"/>
      </w:tblGrid>
      <w:tr>
        <w:tc>
          <w:tcPr>
            <w:tcW w:type="dxa" w:w="3760"/>
            <w:tcBorders>
              <w:top w:val="none" w:color="FFFFFF" w:sz="0"/>
              <w:left w:val="none" w:color="FFFFFF" w:sz="0"/>
              <w:bottom w:val="none" w:color="FFFFFF" w:sz="0"/>
              <w:right w:val="none" w:color="FFFFFF" w:sz="0"/>
            </w:tcBorders>
            <w:shd w:fill="1A2E4A" w:val="clear"/>
            <w:tcMar>
              <w:top w:type="dxa" w:w="80"/>
              <w:left w:type="dxa" w:w="120"/>
              <w:bottom w:type="dxa" w:w="80"/>
              <w:right w:type="dxa" w:w="120"/>
            </w:tcMar>
          </w:tcPr>
          <w:p>
            <w:pPr>
              <w:spacing w:after="0" w:before="0"/>
            </w:pPr>
            <w:r>
              <w:rPr>
                <w:rFonts w:ascii="Arial" w:cs="Arial" w:eastAsia="Arial" w:hAnsi="Arial"/>
                <w:b/>
                <w:bCs/>
                <w:color w:val="FFFFFF"/>
                <w:sz w:val="18"/>
                <w:szCs w:val="18"/>
              </w:rPr>
              <w:t xml:space="preserve">Obiettivo primario</w:t>
            </w:r>
          </w:p>
        </w:tc>
        <w:tc>
          <w:tcPr>
            <w:tcW w:type="dxa" w:w="4000"/>
            <w:tcBorders>
              <w:top w:val="none" w:color="FFFFFF" w:sz="0"/>
              <w:left w:val="none" w:color="FFFFFF" w:sz="0"/>
              <w:bottom w:val="none" w:color="FFFFFF" w:sz="0"/>
              <w:right w:val="none" w:color="FFFFFF" w:sz="0"/>
            </w:tcBorders>
            <w:shd w:fill="1A2E4A" w:val="clear"/>
            <w:tcMar>
              <w:top w:type="dxa" w:w="80"/>
              <w:left w:type="dxa" w:w="120"/>
              <w:bottom w:type="dxa" w:w="80"/>
              <w:right w:type="dxa" w:w="120"/>
            </w:tcMar>
          </w:tcPr>
          <w:p>
            <w:pPr>
              <w:spacing w:after="0" w:before="0"/>
            </w:pPr>
            <w:r>
              <w:rPr>
                <w:rFonts w:ascii="Arial" w:cs="Arial" w:eastAsia="Arial" w:hAnsi="Arial"/>
                <w:b/>
                <w:bCs/>
                <w:color w:val="FFFFFF"/>
                <w:sz w:val="18"/>
                <w:szCs w:val="18"/>
              </w:rPr>
              <w:t xml:space="preserve">Strumento consigliato</w:t>
            </w:r>
          </w:p>
        </w:tc>
        <w:tc>
          <w:tcPr>
            <w:tcW w:type="dxa" w:w="1500"/>
            <w:tcBorders>
              <w:top w:val="none" w:color="FFFFFF" w:sz="0"/>
              <w:left w:val="none" w:color="FFFFFF" w:sz="0"/>
              <w:bottom w:val="none" w:color="FFFFFF" w:sz="0"/>
              <w:right w:val="none" w:color="FFFFFF" w:sz="0"/>
            </w:tcBorders>
            <w:shd w:fill="1A2E4A" w:val="clear"/>
            <w:tcMar>
              <w:top w:type="dxa" w:w="80"/>
              <w:left w:type="dxa" w:w="120"/>
              <w:bottom w:type="dxa" w:w="80"/>
              <w:right w:type="dxa" w:w="120"/>
            </w:tcMar>
          </w:tcPr>
          <w:p>
            <w:pPr>
              <w:spacing w:after="0" w:before="0"/>
              <w:jc w:val="center"/>
            </w:pPr>
            <w:r>
              <w:rPr>
                <w:rFonts w:ascii="Arial" w:cs="Arial" w:eastAsia="Arial" w:hAnsi="Arial"/>
                <w:b/>
                <w:bCs/>
                <w:color w:val="FFFFFF"/>
                <w:sz w:val="18"/>
                <w:szCs w:val="18"/>
              </w:rPr>
              <w:t xml:space="preserve">Urgenza</w:t>
            </w:r>
          </w:p>
        </w:tc>
      </w:tr>
      <w:tr>
        <w:tc>
          <w:tcPr>
            <w:tcBorders>
              <w:top w:val="single" w:color="D0D8E0" w:sz="1"/>
              <w:left w:val="single" w:color="D0D8E0" w:sz="1"/>
              <w:bottom w:val="single" w:color="D0D8E0" w:sz="1"/>
              <w:right w:val="single" w:color="D0D8E0" w:sz="1"/>
            </w:tcBorders>
            <w:tcMar>
              <w:top w:type="dxa" w:w="60"/>
              <w:left w:type="dxa" w:w="100"/>
              <w:bottom w:type="dxa" w:w="60"/>
              <w:right w:type="dxa" w:w="100"/>
            </w:tcMar>
            <w:vAlign w:val="center"/>
          </w:tcPr>
          <w:p>
            <w:pPr>
              <w:spacing w:after="0" w:before="0"/>
            </w:pPr>
            <w:r>
              <w:rPr>
                <w:rFonts w:ascii="Arial" w:cs="Arial" w:eastAsia="Arial" w:hAnsi="Arial"/>
                <w:b/>
                <w:bCs/>
                <w:color w:val="1A2E4A"/>
                <w:sz w:val="17"/>
                <w:szCs w:val="17"/>
              </w:rPr>
              <w:t xml:space="preserve">Rimozione immediata contenuti online</w:t>
            </w:r>
          </w:p>
        </w:tc>
        <w:tc>
          <w:tcPr>
            <w:tcBorders>
              <w:top w:val="single" w:color="D0D8E0" w:sz="1"/>
              <w:left w:val="single" w:color="D0D8E0" w:sz="1"/>
              <w:bottom w:val="single" w:color="D0D8E0" w:sz="1"/>
              <w:right w:val="single" w:color="D0D8E0" w:sz="1"/>
            </w:tcBorders>
            <w:tcMar>
              <w:top w:type="dxa" w:w="60"/>
              <w:left w:type="dxa" w:w="100"/>
              <w:bottom w:type="dxa" w:w="60"/>
              <w:right w:type="dxa" w:w="100"/>
            </w:tcMar>
            <w:vAlign w:val="center"/>
          </w:tcPr>
          <w:p>
            <w:pPr>
              <w:spacing w:after="0" w:before="0"/>
            </w:pPr>
            <w:r>
              <w:rPr>
                <w:rFonts w:ascii="Arial" w:cs="Arial" w:eastAsia="Arial" w:hAnsi="Arial"/>
                <w:b w:val="false"/>
                <w:bCs w:val="false"/>
                <w:color w:val="4A5568"/>
                <w:sz w:val="17"/>
                <w:szCs w:val="17"/>
              </w:rPr>
              <w:t xml:space="preserve">Ricorso ex art. 700 c.p.c. + diffida stragiudiziale</w:t>
            </w:r>
          </w:p>
        </w:tc>
        <w:tc>
          <w:tcPr>
            <w:tcW w:type="dxa" w:w="1500"/>
            <w:tcBorders>
              <w:top w:val="single" w:color="D0D8E0" w:sz="1"/>
              <w:left w:val="single" w:color="D0D8E0" w:sz="1"/>
              <w:bottom w:val="single" w:color="D0D8E0" w:sz="1"/>
              <w:right w:val="single" w:color="D0D8E0" w:sz="1"/>
            </w:tcBorders>
            <w:shd w:fill="C0392B" w:val="clear"/>
            <w:tcMar>
              <w:top w:type="dxa" w:w="60"/>
              <w:left w:type="dxa" w:w="100"/>
              <w:bottom w:type="dxa" w:w="60"/>
              <w:right w:type="dxa" w:w="100"/>
            </w:tcMar>
            <w:vAlign w:val="center"/>
          </w:tcPr>
          <w:p>
            <w:pPr>
              <w:spacing w:after="0" w:before="0"/>
              <w:jc w:val="center"/>
            </w:pPr>
            <w:r>
              <w:rPr>
                <w:rFonts w:ascii="Arial" w:cs="Arial" w:eastAsia="Arial" w:hAnsi="Arial"/>
                <w:b/>
                <w:bCs/>
                <w:color w:val="FFFFFF"/>
                <w:sz w:val="17"/>
                <w:szCs w:val="17"/>
              </w:rPr>
              <w:t xml:space="preserve">ALTA</w:t>
            </w:r>
          </w:p>
        </w:tc>
      </w:tr>
      <w:tr>
        <w:tc>
          <w:tcPr>
            <w:tcBorders>
              <w:top w:val="single" w:color="D0D8E0" w:sz="1"/>
              <w:left w:val="single" w:color="D0D8E0" w:sz="1"/>
              <w:bottom w:val="single" w:color="D0D8E0" w:sz="1"/>
              <w:right w:val="single" w:color="D0D8E0" w:sz="1"/>
            </w:tcBorders>
            <w:tcMar>
              <w:top w:type="dxa" w:w="60"/>
              <w:left w:type="dxa" w:w="100"/>
              <w:bottom w:type="dxa" w:w="60"/>
              <w:right w:type="dxa" w:w="100"/>
            </w:tcMar>
            <w:vAlign w:val="center"/>
          </w:tcPr>
          <w:p>
            <w:pPr>
              <w:spacing w:after="0" w:before="0"/>
            </w:pPr>
            <w:r>
              <w:rPr>
                <w:rFonts w:ascii="Arial" w:cs="Arial" w:eastAsia="Arial" w:hAnsi="Arial"/>
                <w:b/>
                <w:bCs/>
                <w:color w:val="1A2E4A"/>
                <w:sz w:val="17"/>
                <w:szCs w:val="17"/>
              </w:rPr>
              <w:t xml:space="preserve">Risarcimento danno patrimoniale (immagine)</w:t>
            </w:r>
          </w:p>
        </w:tc>
        <w:tc>
          <w:tcPr>
            <w:tcBorders>
              <w:top w:val="single" w:color="D0D8E0" w:sz="1"/>
              <w:left w:val="single" w:color="D0D8E0" w:sz="1"/>
              <w:bottom w:val="single" w:color="D0D8E0" w:sz="1"/>
              <w:right w:val="single" w:color="D0D8E0" w:sz="1"/>
            </w:tcBorders>
            <w:tcMar>
              <w:top w:type="dxa" w:w="60"/>
              <w:left w:type="dxa" w:w="100"/>
              <w:bottom w:type="dxa" w:w="60"/>
              <w:right w:type="dxa" w:w="100"/>
            </w:tcMar>
            <w:vAlign w:val="center"/>
          </w:tcPr>
          <w:p>
            <w:pPr>
              <w:spacing w:after="0" w:before="0"/>
            </w:pPr>
            <w:r>
              <w:rPr>
                <w:rFonts w:ascii="Arial" w:cs="Arial" w:eastAsia="Arial" w:hAnsi="Arial"/>
                <w:b w:val="false"/>
                <w:bCs w:val="false"/>
                <w:color w:val="4A5568"/>
                <w:sz w:val="17"/>
                <w:szCs w:val="17"/>
              </w:rPr>
              <w:t xml:space="preserve">Azione civile cumul. — art. 10 c.c. + artt. 96–97 L. 633/1941</w:t>
            </w:r>
          </w:p>
        </w:tc>
        <w:tc>
          <w:tcPr>
            <w:tcW w:type="dxa" w:w="1500"/>
            <w:tcBorders>
              <w:top w:val="single" w:color="D0D8E0" w:sz="1"/>
              <w:left w:val="single" w:color="D0D8E0" w:sz="1"/>
              <w:bottom w:val="single" w:color="D0D8E0" w:sz="1"/>
              <w:right w:val="single" w:color="D0D8E0" w:sz="1"/>
            </w:tcBorders>
            <w:shd w:fill="B86A00" w:val="clear"/>
            <w:tcMar>
              <w:top w:type="dxa" w:w="60"/>
              <w:left w:type="dxa" w:w="100"/>
              <w:bottom w:type="dxa" w:w="60"/>
              <w:right w:type="dxa" w:w="100"/>
            </w:tcMar>
            <w:vAlign w:val="center"/>
          </w:tcPr>
          <w:p>
            <w:pPr>
              <w:spacing w:after="0" w:before="0"/>
              <w:jc w:val="center"/>
            </w:pPr>
            <w:r>
              <w:rPr>
                <w:rFonts w:ascii="Arial" w:cs="Arial" w:eastAsia="Arial" w:hAnsi="Arial"/>
                <w:b/>
                <w:bCs/>
                <w:color w:val="FFFFFF"/>
                <w:sz w:val="17"/>
                <w:szCs w:val="17"/>
              </w:rPr>
              <w:t xml:space="preserve">MEDIA</w:t>
            </w:r>
          </w:p>
        </w:tc>
      </w:tr>
      <w:tr>
        <w:tc>
          <w:tcPr>
            <w:tcBorders>
              <w:top w:val="single" w:color="D0D8E0" w:sz="1"/>
              <w:left w:val="single" w:color="D0D8E0" w:sz="1"/>
              <w:bottom w:val="single" w:color="D0D8E0" w:sz="1"/>
              <w:right w:val="single" w:color="D0D8E0" w:sz="1"/>
            </w:tcBorders>
            <w:tcMar>
              <w:top w:type="dxa" w:w="60"/>
              <w:left w:type="dxa" w:w="100"/>
              <w:bottom w:type="dxa" w:w="60"/>
              <w:right w:type="dxa" w:w="100"/>
            </w:tcMar>
            <w:vAlign w:val="center"/>
          </w:tcPr>
          <w:p>
            <w:pPr>
              <w:spacing w:after="0" w:before="0"/>
            </w:pPr>
            <w:r>
              <w:rPr>
                <w:rFonts w:ascii="Arial" w:cs="Arial" w:eastAsia="Arial" w:hAnsi="Arial"/>
                <w:b/>
                <w:bCs/>
                <w:color w:val="1A2E4A"/>
                <w:sz w:val="17"/>
                <w:szCs w:val="17"/>
              </w:rPr>
              <w:t xml:space="preserve">Risarcimento danno non patrimoniale</w:t>
            </w:r>
          </w:p>
        </w:tc>
        <w:tc>
          <w:tcPr>
            <w:tcBorders>
              <w:top w:val="single" w:color="D0D8E0" w:sz="1"/>
              <w:left w:val="single" w:color="D0D8E0" w:sz="1"/>
              <w:bottom w:val="single" w:color="D0D8E0" w:sz="1"/>
              <w:right w:val="single" w:color="D0D8E0" w:sz="1"/>
            </w:tcBorders>
            <w:tcMar>
              <w:top w:type="dxa" w:w="60"/>
              <w:left w:type="dxa" w:w="100"/>
              <w:bottom w:type="dxa" w:w="60"/>
              <w:right w:type="dxa" w:w="100"/>
            </w:tcMar>
            <w:vAlign w:val="center"/>
          </w:tcPr>
          <w:p>
            <w:pPr>
              <w:spacing w:after="0" w:before="0"/>
            </w:pPr>
            <w:r>
              <w:rPr>
                <w:rFonts w:ascii="Arial" w:cs="Arial" w:eastAsia="Arial" w:hAnsi="Arial"/>
                <w:b w:val="false"/>
                <w:bCs w:val="false"/>
                <w:color w:val="4A5568"/>
                <w:sz w:val="17"/>
                <w:szCs w:val="17"/>
              </w:rPr>
              <w:t xml:space="preserve">Azione ex artt. 82 GDPR + 2059 c.c. (rito del lavoro)</w:t>
            </w:r>
          </w:p>
        </w:tc>
        <w:tc>
          <w:tcPr>
            <w:tcW w:type="dxa" w:w="1500"/>
            <w:tcBorders>
              <w:top w:val="single" w:color="D0D8E0" w:sz="1"/>
              <w:left w:val="single" w:color="D0D8E0" w:sz="1"/>
              <w:bottom w:val="single" w:color="D0D8E0" w:sz="1"/>
              <w:right w:val="single" w:color="D0D8E0" w:sz="1"/>
            </w:tcBorders>
            <w:shd w:fill="B86A00" w:val="clear"/>
            <w:tcMar>
              <w:top w:type="dxa" w:w="60"/>
              <w:left w:type="dxa" w:w="100"/>
              <w:bottom w:type="dxa" w:w="60"/>
              <w:right w:type="dxa" w:w="100"/>
            </w:tcMar>
            <w:vAlign w:val="center"/>
          </w:tcPr>
          <w:p>
            <w:pPr>
              <w:spacing w:after="0" w:before="0"/>
              <w:jc w:val="center"/>
            </w:pPr>
            <w:r>
              <w:rPr>
                <w:rFonts w:ascii="Arial" w:cs="Arial" w:eastAsia="Arial" w:hAnsi="Arial"/>
                <w:b/>
                <w:bCs/>
                <w:color w:val="FFFFFF"/>
                <w:sz w:val="17"/>
                <w:szCs w:val="17"/>
              </w:rPr>
              <w:t xml:space="preserve">MEDIA</w:t>
            </w:r>
          </w:p>
        </w:tc>
      </w:tr>
      <w:tr>
        <w:tc>
          <w:tcPr>
            <w:tcBorders>
              <w:top w:val="single" w:color="D0D8E0" w:sz="1"/>
              <w:left w:val="single" w:color="D0D8E0" w:sz="1"/>
              <w:bottom w:val="single" w:color="D0D8E0" w:sz="1"/>
              <w:right w:val="single" w:color="D0D8E0" w:sz="1"/>
            </w:tcBorders>
            <w:tcMar>
              <w:top w:type="dxa" w:w="60"/>
              <w:left w:type="dxa" w:w="100"/>
              <w:bottom w:type="dxa" w:w="60"/>
              <w:right w:type="dxa" w:w="100"/>
            </w:tcMar>
            <w:vAlign w:val="center"/>
          </w:tcPr>
          <w:p>
            <w:pPr>
              <w:spacing w:after="0" w:before="0"/>
            </w:pPr>
            <w:r>
              <w:rPr>
                <w:rFonts w:ascii="Arial" w:cs="Arial" w:eastAsia="Arial" w:hAnsi="Arial"/>
                <w:b/>
                <w:bCs/>
                <w:color w:val="1A2E4A"/>
                <w:sz w:val="17"/>
                <w:szCs w:val="17"/>
              </w:rPr>
              <w:t xml:space="preserve">Perdita di controllo sui dati personali</w:t>
            </w:r>
          </w:p>
        </w:tc>
        <w:tc>
          <w:tcPr>
            <w:tcBorders>
              <w:top w:val="single" w:color="D0D8E0" w:sz="1"/>
              <w:left w:val="single" w:color="D0D8E0" w:sz="1"/>
              <w:bottom w:val="single" w:color="D0D8E0" w:sz="1"/>
              <w:right w:val="single" w:color="D0D8E0" w:sz="1"/>
            </w:tcBorders>
            <w:tcMar>
              <w:top w:type="dxa" w:w="60"/>
              <w:left w:type="dxa" w:w="100"/>
              <w:bottom w:type="dxa" w:w="60"/>
              <w:right w:type="dxa" w:w="100"/>
            </w:tcMar>
            <w:vAlign w:val="center"/>
          </w:tcPr>
          <w:p>
            <w:pPr>
              <w:spacing w:after="0" w:before="0"/>
            </w:pPr>
            <w:r>
              <w:rPr>
                <w:rFonts w:ascii="Arial" w:cs="Arial" w:eastAsia="Arial" w:hAnsi="Arial"/>
                <w:b w:val="false"/>
                <w:bCs w:val="false"/>
                <w:color w:val="4A5568"/>
                <w:sz w:val="17"/>
                <w:szCs w:val="17"/>
              </w:rPr>
              <w:t xml:space="preserve">Domanda autonoma ex art. 82 GDPR (Considerando 85–146)</w:t>
            </w:r>
          </w:p>
        </w:tc>
        <w:tc>
          <w:tcPr>
            <w:tcW w:type="dxa" w:w="1500"/>
            <w:tcBorders>
              <w:top w:val="single" w:color="D0D8E0" w:sz="1"/>
              <w:left w:val="single" w:color="D0D8E0" w:sz="1"/>
              <w:bottom w:val="single" w:color="D0D8E0" w:sz="1"/>
              <w:right w:val="single" w:color="D0D8E0" w:sz="1"/>
            </w:tcBorders>
            <w:shd w:fill="B86A00" w:val="clear"/>
            <w:tcMar>
              <w:top w:type="dxa" w:w="60"/>
              <w:left w:type="dxa" w:w="100"/>
              <w:bottom w:type="dxa" w:w="60"/>
              <w:right w:type="dxa" w:w="100"/>
            </w:tcMar>
            <w:vAlign w:val="center"/>
          </w:tcPr>
          <w:p>
            <w:pPr>
              <w:spacing w:after="0" w:before="0"/>
              <w:jc w:val="center"/>
            </w:pPr>
            <w:r>
              <w:rPr>
                <w:rFonts w:ascii="Arial" w:cs="Arial" w:eastAsia="Arial" w:hAnsi="Arial"/>
                <w:b/>
                <w:bCs/>
                <w:color w:val="FFFFFF"/>
                <w:sz w:val="17"/>
                <w:szCs w:val="17"/>
              </w:rPr>
              <w:t xml:space="preserve">MEDIA</w:t>
            </w:r>
          </w:p>
        </w:tc>
      </w:tr>
      <w:tr>
        <w:tc>
          <w:tcPr>
            <w:tcBorders>
              <w:top w:val="single" w:color="D0D8E0" w:sz="1"/>
              <w:left w:val="single" w:color="D0D8E0" w:sz="1"/>
              <w:bottom w:val="single" w:color="D0D8E0" w:sz="1"/>
              <w:right w:val="single" w:color="D0D8E0" w:sz="1"/>
            </w:tcBorders>
            <w:tcMar>
              <w:top w:type="dxa" w:w="60"/>
              <w:left w:type="dxa" w:w="100"/>
              <w:bottom w:type="dxa" w:w="60"/>
              <w:right w:type="dxa" w:w="100"/>
            </w:tcMar>
            <w:vAlign w:val="center"/>
          </w:tcPr>
          <w:p>
            <w:pPr>
              <w:spacing w:after="0" w:before="0"/>
            </w:pPr>
            <w:r>
              <w:rPr>
                <w:rFonts w:ascii="Arial" w:cs="Arial" w:eastAsia="Arial" w:hAnsi="Arial"/>
                <w:b/>
                <w:bCs/>
                <w:color w:val="1A2E4A"/>
                <w:sz w:val="17"/>
                <w:szCs w:val="17"/>
              </w:rPr>
              <w:t xml:space="preserve">Violazione diritto di accesso (art. 15)</w:t>
            </w:r>
          </w:p>
        </w:tc>
        <w:tc>
          <w:tcPr>
            <w:tcBorders>
              <w:top w:val="single" w:color="D0D8E0" w:sz="1"/>
              <w:left w:val="single" w:color="D0D8E0" w:sz="1"/>
              <w:bottom w:val="single" w:color="D0D8E0" w:sz="1"/>
              <w:right w:val="single" w:color="D0D8E0" w:sz="1"/>
            </w:tcBorders>
            <w:tcMar>
              <w:top w:type="dxa" w:w="60"/>
              <w:left w:type="dxa" w:w="100"/>
              <w:bottom w:type="dxa" w:w="60"/>
              <w:right w:type="dxa" w:w="100"/>
            </w:tcMar>
            <w:vAlign w:val="center"/>
          </w:tcPr>
          <w:p>
            <w:pPr>
              <w:spacing w:after="0" w:before="0"/>
            </w:pPr>
            <w:r>
              <w:rPr>
                <w:rFonts w:ascii="Arial" w:cs="Arial" w:eastAsia="Arial" w:hAnsi="Arial"/>
                <w:b w:val="false"/>
                <w:bCs w:val="false"/>
                <w:color w:val="4A5568"/>
                <w:sz w:val="17"/>
                <w:szCs w:val="17"/>
              </w:rPr>
              <w:t xml:space="preserve">Domanda risarcitoria dopo scadenza dei 30 giorni GDPR</w:t>
            </w:r>
          </w:p>
        </w:tc>
        <w:tc>
          <w:tcPr>
            <w:tcW w:type="dxa" w:w="1500"/>
            <w:tcBorders>
              <w:top w:val="single" w:color="D0D8E0" w:sz="1"/>
              <w:left w:val="single" w:color="D0D8E0" w:sz="1"/>
              <w:bottom w:val="single" w:color="D0D8E0" w:sz="1"/>
              <w:right w:val="single" w:color="D0D8E0" w:sz="1"/>
            </w:tcBorders>
            <w:shd w:fill="006B6B" w:val="clear"/>
            <w:tcMar>
              <w:top w:type="dxa" w:w="60"/>
              <w:left w:type="dxa" w:w="100"/>
              <w:bottom w:type="dxa" w:w="60"/>
              <w:right w:type="dxa" w:w="100"/>
            </w:tcMar>
            <w:vAlign w:val="center"/>
          </w:tcPr>
          <w:p>
            <w:pPr>
              <w:spacing w:after="0" w:before="0"/>
              <w:jc w:val="center"/>
            </w:pPr>
            <w:r>
              <w:rPr>
                <w:rFonts w:ascii="Arial" w:cs="Arial" w:eastAsia="Arial" w:hAnsi="Arial"/>
                <w:b/>
                <w:bCs/>
                <w:color w:val="FFFFFF"/>
                <w:sz w:val="17"/>
                <w:szCs w:val="17"/>
              </w:rPr>
              <w:t xml:space="preserve">BASSA</w:t>
            </w:r>
          </w:p>
        </w:tc>
      </w:tr>
      <w:tr>
        <w:tc>
          <w:tcPr>
            <w:tcBorders>
              <w:top w:val="single" w:color="D0D8E0" w:sz="1"/>
              <w:left w:val="single" w:color="D0D8E0" w:sz="1"/>
              <w:bottom w:val="single" w:color="D0D8E0" w:sz="1"/>
              <w:right w:val="single" w:color="D0D8E0" w:sz="1"/>
            </w:tcBorders>
            <w:tcMar>
              <w:top w:type="dxa" w:w="60"/>
              <w:left w:type="dxa" w:w="100"/>
              <w:bottom w:type="dxa" w:w="60"/>
              <w:right w:type="dxa" w:w="100"/>
            </w:tcMar>
            <w:vAlign w:val="center"/>
          </w:tcPr>
          <w:p>
            <w:pPr>
              <w:spacing w:after="0" w:before="0"/>
            </w:pPr>
            <w:r>
              <w:rPr>
                <w:rFonts w:ascii="Arial" w:cs="Arial" w:eastAsia="Arial" w:hAnsi="Arial"/>
                <w:b/>
                <w:bCs/>
                <w:color w:val="1A2E4A"/>
                <w:sz w:val="17"/>
                <w:szCs w:val="17"/>
              </w:rPr>
              <w:t xml:space="preserve">Sanzione amminis. al trasgressore</w:t>
            </w:r>
          </w:p>
        </w:tc>
        <w:tc>
          <w:tcPr>
            <w:tcBorders>
              <w:top w:val="single" w:color="D0D8E0" w:sz="1"/>
              <w:left w:val="single" w:color="D0D8E0" w:sz="1"/>
              <w:bottom w:val="single" w:color="D0D8E0" w:sz="1"/>
              <w:right w:val="single" w:color="D0D8E0" w:sz="1"/>
            </w:tcBorders>
            <w:tcMar>
              <w:top w:type="dxa" w:w="60"/>
              <w:left w:type="dxa" w:w="100"/>
              <w:bottom w:type="dxa" w:w="60"/>
              <w:right w:type="dxa" w:w="100"/>
            </w:tcMar>
            <w:vAlign w:val="center"/>
          </w:tcPr>
          <w:p>
            <w:pPr>
              <w:spacing w:after="0" w:before="0"/>
            </w:pPr>
            <w:r>
              <w:rPr>
                <w:rFonts w:ascii="Arial" w:cs="Arial" w:eastAsia="Arial" w:hAnsi="Arial"/>
                <w:b w:val="false"/>
                <w:bCs w:val="false"/>
                <w:color w:val="4A5568"/>
                <w:sz w:val="17"/>
                <w:szCs w:val="17"/>
              </w:rPr>
              <w:t xml:space="preserve">Reclamo al Garante Privacy (gratuito)</w:t>
            </w:r>
          </w:p>
        </w:tc>
        <w:tc>
          <w:tcPr>
            <w:tcW w:type="dxa" w:w="1500"/>
            <w:tcBorders>
              <w:top w:val="single" w:color="D0D8E0" w:sz="1"/>
              <w:left w:val="single" w:color="D0D8E0" w:sz="1"/>
              <w:bottom w:val="single" w:color="D0D8E0" w:sz="1"/>
              <w:right w:val="single" w:color="D0D8E0" w:sz="1"/>
            </w:tcBorders>
            <w:shd w:fill="006B6B" w:val="clear"/>
            <w:tcMar>
              <w:top w:type="dxa" w:w="60"/>
              <w:left w:type="dxa" w:w="100"/>
              <w:bottom w:type="dxa" w:w="60"/>
              <w:right w:type="dxa" w:w="100"/>
            </w:tcMar>
            <w:vAlign w:val="center"/>
          </w:tcPr>
          <w:p>
            <w:pPr>
              <w:spacing w:after="0" w:before="0"/>
              <w:jc w:val="center"/>
            </w:pPr>
            <w:r>
              <w:rPr>
                <w:rFonts w:ascii="Arial" w:cs="Arial" w:eastAsia="Arial" w:hAnsi="Arial"/>
                <w:b/>
                <w:bCs/>
                <w:color w:val="FFFFFF"/>
                <w:sz w:val="17"/>
                <w:szCs w:val="17"/>
              </w:rPr>
              <w:t xml:space="preserve">BASSA</w:t>
            </w:r>
          </w:p>
        </w:tc>
      </w:tr>
      <w:tr>
        <w:tc>
          <w:tcPr>
            <w:tcBorders>
              <w:top w:val="single" w:color="D0D8E0" w:sz="1"/>
              <w:left w:val="single" w:color="D0D8E0" w:sz="1"/>
              <w:bottom w:val="single" w:color="D0D8E0" w:sz="1"/>
              <w:right w:val="single" w:color="D0D8E0" w:sz="1"/>
            </w:tcBorders>
            <w:tcMar>
              <w:top w:type="dxa" w:w="60"/>
              <w:left w:type="dxa" w:w="100"/>
              <w:bottom w:type="dxa" w:w="60"/>
              <w:right w:type="dxa" w:w="100"/>
            </w:tcMar>
            <w:vAlign w:val="center"/>
          </w:tcPr>
          <w:p>
            <w:pPr>
              <w:spacing w:after="0" w:before="0"/>
            </w:pPr>
            <w:r>
              <w:rPr>
                <w:rFonts w:ascii="Arial" w:cs="Arial" w:eastAsia="Arial" w:hAnsi="Arial"/>
                <w:b/>
                <w:bCs/>
                <w:color w:val="1A2E4A"/>
                <w:sz w:val="17"/>
                <w:szCs w:val="17"/>
              </w:rPr>
              <w:t xml:space="preserve">Definizione rapida senza giudizio</w:t>
            </w:r>
          </w:p>
        </w:tc>
        <w:tc>
          <w:tcPr>
            <w:tcBorders>
              <w:top w:val="single" w:color="D0D8E0" w:sz="1"/>
              <w:left w:val="single" w:color="D0D8E0" w:sz="1"/>
              <w:bottom w:val="single" w:color="D0D8E0" w:sz="1"/>
              <w:right w:val="single" w:color="D0D8E0" w:sz="1"/>
            </w:tcBorders>
            <w:tcMar>
              <w:top w:type="dxa" w:w="60"/>
              <w:left w:type="dxa" w:w="100"/>
              <w:bottom w:type="dxa" w:w="60"/>
              <w:right w:type="dxa" w:w="100"/>
            </w:tcMar>
            <w:vAlign w:val="center"/>
          </w:tcPr>
          <w:p>
            <w:pPr>
              <w:spacing w:after="0" w:before="0"/>
            </w:pPr>
            <w:r>
              <w:rPr>
                <w:rFonts w:ascii="Arial" w:cs="Arial" w:eastAsia="Arial" w:hAnsi="Arial"/>
                <w:b w:val="false"/>
                <w:bCs w:val="false"/>
                <w:color w:val="4A5568"/>
                <w:sz w:val="17"/>
                <w:szCs w:val="17"/>
              </w:rPr>
              <w:t xml:space="preserve">Diffida formale + proposta transattiva / mediazione</w:t>
            </w:r>
          </w:p>
        </w:tc>
        <w:tc>
          <w:tcPr>
            <w:tcW w:type="dxa" w:w="1500"/>
            <w:tcBorders>
              <w:top w:val="single" w:color="D0D8E0" w:sz="1"/>
              <w:left w:val="single" w:color="D0D8E0" w:sz="1"/>
              <w:bottom w:val="single" w:color="D0D8E0" w:sz="1"/>
              <w:right w:val="single" w:color="D0D8E0" w:sz="1"/>
            </w:tcBorders>
            <w:shd w:fill="B86A00" w:val="clear"/>
            <w:tcMar>
              <w:top w:type="dxa" w:w="60"/>
              <w:left w:type="dxa" w:w="100"/>
              <w:bottom w:type="dxa" w:w="60"/>
              <w:right w:type="dxa" w:w="100"/>
            </w:tcMar>
            <w:vAlign w:val="center"/>
          </w:tcPr>
          <w:p>
            <w:pPr>
              <w:spacing w:after="0" w:before="0"/>
              <w:jc w:val="center"/>
            </w:pPr>
            <w:r>
              <w:rPr>
                <w:rFonts w:ascii="Arial" w:cs="Arial" w:eastAsia="Arial" w:hAnsi="Arial"/>
                <w:b/>
                <w:bCs/>
                <w:color w:val="FFFFFF"/>
                <w:sz w:val="17"/>
                <w:szCs w:val="17"/>
              </w:rPr>
              <w:t xml:space="preserve">MEDIA</w:t>
            </w:r>
          </w:p>
        </w:tc>
      </w:tr>
      <w:tr>
        <w:tc>
          <w:tcPr>
            <w:tcBorders>
              <w:top w:val="single" w:color="D0D8E0" w:sz="1"/>
              <w:left w:val="single" w:color="D0D8E0" w:sz="1"/>
              <w:bottom w:val="single" w:color="D0D8E0" w:sz="1"/>
              <w:right w:val="single" w:color="D0D8E0" w:sz="1"/>
            </w:tcBorders>
            <w:tcMar>
              <w:top w:type="dxa" w:w="60"/>
              <w:left w:type="dxa" w:w="100"/>
              <w:bottom w:type="dxa" w:w="60"/>
              <w:right w:type="dxa" w:w="100"/>
            </w:tcMar>
            <w:vAlign w:val="center"/>
          </w:tcPr>
          <w:p>
            <w:pPr>
              <w:spacing w:after="0" w:before="0"/>
            </w:pPr>
            <w:r>
              <w:rPr>
                <w:rFonts w:ascii="Arial" w:cs="Arial" w:eastAsia="Arial" w:hAnsi="Arial"/>
                <w:b/>
                <w:bCs/>
                <w:color w:val="1A2E4A"/>
                <w:sz w:val="17"/>
                <w:szCs w:val="17"/>
              </w:rPr>
              <w:t xml:space="preserve">Perseguimento penale</w:t>
            </w:r>
          </w:p>
        </w:tc>
        <w:tc>
          <w:tcPr>
            <w:tcBorders>
              <w:top w:val="single" w:color="D0D8E0" w:sz="1"/>
              <w:left w:val="single" w:color="D0D8E0" w:sz="1"/>
              <w:bottom w:val="single" w:color="D0D8E0" w:sz="1"/>
              <w:right w:val="single" w:color="D0D8E0" w:sz="1"/>
            </w:tcBorders>
            <w:tcMar>
              <w:top w:type="dxa" w:w="60"/>
              <w:left w:type="dxa" w:w="100"/>
              <w:bottom w:type="dxa" w:w="60"/>
              <w:right w:type="dxa" w:w="100"/>
            </w:tcMar>
            <w:vAlign w:val="center"/>
          </w:tcPr>
          <w:p>
            <w:pPr>
              <w:spacing w:after="0" w:before="0"/>
            </w:pPr>
            <w:r>
              <w:rPr>
                <w:rFonts w:ascii="Arial" w:cs="Arial" w:eastAsia="Arial" w:hAnsi="Arial"/>
                <w:b w:val="false"/>
                <w:bCs w:val="false"/>
                <w:color w:val="4A5568"/>
                <w:sz w:val="17"/>
                <w:szCs w:val="17"/>
              </w:rPr>
              <w:t xml:space="preserve">Querela ex art. 167 D.Lgs. 196/2003 (solo se dolo e nocumento provato)</w:t>
            </w:r>
          </w:p>
        </w:tc>
        <w:tc>
          <w:tcPr>
            <w:tcW w:type="dxa" w:w="1500"/>
            <w:tcBorders>
              <w:top w:val="single" w:color="D0D8E0" w:sz="1"/>
              <w:left w:val="single" w:color="D0D8E0" w:sz="1"/>
              <w:bottom w:val="single" w:color="D0D8E0" w:sz="1"/>
              <w:right w:val="single" w:color="D0D8E0" w:sz="1"/>
            </w:tcBorders>
            <w:shd w:fill="4A3580" w:val="clear"/>
            <w:tcMar>
              <w:top w:type="dxa" w:w="60"/>
              <w:left w:type="dxa" w:w="100"/>
              <w:bottom w:type="dxa" w:w="60"/>
              <w:right w:type="dxa" w:w="100"/>
            </w:tcMar>
            <w:vAlign w:val="center"/>
          </w:tcPr>
          <w:p>
            <w:pPr>
              <w:spacing w:after="0" w:before="0"/>
              <w:jc w:val="center"/>
            </w:pPr>
            <w:r>
              <w:rPr>
                <w:rFonts w:ascii="Arial" w:cs="Arial" w:eastAsia="Arial" w:hAnsi="Arial"/>
                <w:b/>
                <w:bCs/>
                <w:color w:val="FFFFFF"/>
                <w:sz w:val="17"/>
                <w:szCs w:val="17"/>
              </w:rPr>
              <w:t xml:space="preserve">VALUT.</w:t>
            </w:r>
          </w:p>
        </w:tc>
      </w:tr>
    </w:tbl>
    <w:p>
      <w:pPr>
        <w:spacing w:after="0" w:before="200"/>
      </w:pPr>
    </w:p>
    <w:p>
      <w:pPr>
        <w:pStyle w:val="Heading1"/>
      </w:pPr>
      <w:r>
        <w:rPr>
          <w:rFonts w:ascii="Arial" w:cs="Arial" w:eastAsia="Arial" w:hAnsi="Arial"/>
          <w:b/>
          <w:bCs/>
          <w:color w:val="1A2E4A"/>
          <w:sz w:val="32"/>
          <w:szCs w:val="32"/>
        </w:rPr>
        <w:t xml:space="preserve">Checklist pregiudiziale</w:t>
      </w:r>
    </w:p>
    <w:p>
      <w:pPr>
        <w:pStyle w:val="ListParagraph"/>
        <w:numPr>
          <w:ilvl w:val="0"/>
          <w:numId w:val="2"/>
        </w:numPr>
        <w:spacing w:after="40" w:before="40"/>
      </w:pPr>
      <w:r>
        <w:rPr>
          <w:rFonts w:ascii="Arial" w:cs="Arial" w:eastAsia="Arial" w:hAnsi="Arial"/>
          <w:b/>
          <w:bCs/>
          <w:color w:val="1A2E4A"/>
          <w:sz w:val="18"/>
          <w:szCs w:val="18"/>
        </w:rPr>
        <w:t xml:space="preserve">Identificazione del violatore:  </w:t>
      </w:r>
      <w:r>
        <w:rPr>
          <w:rFonts w:ascii="Arial" w:cs="Arial" w:eastAsia="Arial" w:hAnsi="Arial"/>
          <w:color w:val="4A5568"/>
          <w:sz w:val="18"/>
          <w:szCs w:val="18"/>
        </w:rPr>
        <w:t xml:space="preserve">Persona fisica o giuridica responsabile del trattamento / della pubblicazione</w:t>
      </w:r>
    </w:p>
    <w:p>
      <w:pPr>
        <w:pStyle w:val="ListParagraph"/>
        <w:numPr>
          <w:ilvl w:val="0"/>
          <w:numId w:val="2"/>
        </w:numPr>
        <w:spacing w:after="40" w:before="40"/>
      </w:pPr>
      <w:r>
        <w:rPr>
          <w:rFonts w:ascii="Arial" w:cs="Arial" w:eastAsia="Arial" w:hAnsi="Arial"/>
          <w:b/>
          <w:bCs/>
          <w:color w:val="1A2E4A"/>
          <w:sz w:val="18"/>
          <w:szCs w:val="18"/>
        </w:rPr>
        <w:t xml:space="preserve">Documentazione della condotta:  </w:t>
      </w:r>
      <w:r>
        <w:rPr>
          <w:rFonts w:ascii="Arial" w:cs="Arial" w:eastAsia="Arial" w:hAnsi="Arial"/>
          <w:color w:val="4A5568"/>
          <w:sz w:val="18"/>
          <w:szCs w:val="18"/>
        </w:rPr>
        <w:t xml:space="preserve">Screenshot con URL, data, ora, dati di visibilità (like, condivisioni, visualizzazioni)</w:t>
      </w:r>
    </w:p>
    <w:p>
      <w:pPr>
        <w:pStyle w:val="ListParagraph"/>
        <w:numPr>
          <w:ilvl w:val="0"/>
          <w:numId w:val="2"/>
        </w:numPr>
        <w:spacing w:after="40" w:before="40"/>
      </w:pPr>
      <w:r>
        <w:rPr>
          <w:rFonts w:ascii="Arial" w:cs="Arial" w:eastAsia="Arial" w:hAnsi="Arial"/>
          <w:b/>
          <w:bCs/>
          <w:color w:val="1A2E4A"/>
          <w:sz w:val="18"/>
          <w:szCs w:val="18"/>
        </w:rPr>
        <w:t xml:space="preserve">Prova del mancato consenso:  </w:t>
      </w:r>
      <w:r>
        <w:rPr>
          <w:rFonts w:ascii="Arial" w:cs="Arial" w:eastAsia="Arial" w:hAnsi="Arial"/>
          <w:color w:val="4A5568"/>
          <w:sz w:val="18"/>
          <w:szCs w:val="18"/>
        </w:rPr>
        <w:t xml:space="preserve">Assenza di contratto, modulo di consenso firmato, informativa privacy</w:t>
      </w:r>
    </w:p>
    <w:p>
      <w:pPr>
        <w:pStyle w:val="ListParagraph"/>
        <w:numPr>
          <w:ilvl w:val="0"/>
          <w:numId w:val="2"/>
        </w:numPr>
        <w:spacing w:after="40" w:before="40"/>
      </w:pPr>
      <w:r>
        <w:rPr>
          <w:rFonts w:ascii="Arial" w:cs="Arial" w:eastAsia="Arial" w:hAnsi="Arial"/>
          <w:b/>
          <w:bCs/>
          <w:color w:val="1A2E4A"/>
          <w:sz w:val="18"/>
          <w:szCs w:val="18"/>
        </w:rPr>
        <w:t xml:space="preserve">Mappatura dei dati trattati:  </w:t>
      </w:r>
      <w:r>
        <w:rPr>
          <w:rFonts w:ascii="Arial" w:cs="Arial" w:eastAsia="Arial" w:hAnsi="Arial"/>
          <w:color w:val="4A5568"/>
          <w:sz w:val="18"/>
          <w:szCs w:val="18"/>
        </w:rPr>
        <w:t xml:space="preserve">Categorie di dati (immagine, nome, dati identificativi, contesto familiare/intimo)</w:t>
      </w:r>
    </w:p>
    <w:p>
      <w:pPr>
        <w:pStyle w:val="ListParagraph"/>
        <w:numPr>
          <w:ilvl w:val="0"/>
          <w:numId w:val="2"/>
        </w:numPr>
        <w:spacing w:after="40" w:before="40"/>
      </w:pPr>
      <w:r>
        <w:rPr>
          <w:rFonts w:ascii="Arial" w:cs="Arial" w:eastAsia="Arial" w:hAnsi="Arial"/>
          <w:b/>
          <w:bCs/>
          <w:color w:val="1A2E4A"/>
          <w:sz w:val="18"/>
          <w:szCs w:val="18"/>
        </w:rPr>
        <w:t xml:space="preserve">Verifica della diffusione:  </w:t>
      </w:r>
      <w:r>
        <w:rPr>
          <w:rFonts w:ascii="Arial" w:cs="Arial" w:eastAsia="Arial" w:hAnsi="Arial"/>
          <w:color w:val="4A5568"/>
          <w:sz w:val="18"/>
          <w:szCs w:val="18"/>
        </w:rPr>
        <w:t xml:space="preserve">N. di canali coinvolti, periodo di esposizione, audience stimata</w:t>
      </w:r>
    </w:p>
    <w:p>
      <w:pPr>
        <w:pStyle w:val="ListParagraph"/>
        <w:numPr>
          <w:ilvl w:val="0"/>
          <w:numId w:val="2"/>
        </w:numPr>
        <w:spacing w:after="40" w:before="40"/>
      </w:pPr>
      <w:r>
        <w:rPr>
          <w:rFonts w:ascii="Arial" w:cs="Arial" w:eastAsia="Arial" w:hAnsi="Arial"/>
          <w:b/>
          <w:bCs/>
          <w:color w:val="1A2E4A"/>
          <w:sz w:val="18"/>
          <w:szCs w:val="18"/>
        </w:rPr>
        <w:t xml:space="preserve">Richiesta di accesso ai dati:  </w:t>
      </w:r>
      <w:r>
        <w:rPr>
          <w:rFonts w:ascii="Arial" w:cs="Arial" w:eastAsia="Arial" w:hAnsi="Arial"/>
          <w:color w:val="4A5568"/>
          <w:sz w:val="18"/>
          <w:szCs w:val="18"/>
        </w:rPr>
        <w:t xml:space="preserve">Invio formale ex art. 15 GDPR per documentare anche la fase preliminare</w:t>
      </w:r>
    </w:p>
    <w:p>
      <w:pPr>
        <w:pStyle w:val="ListParagraph"/>
        <w:numPr>
          <w:ilvl w:val="0"/>
          <w:numId w:val="2"/>
        </w:numPr>
        <w:spacing w:after="40" w:before="40"/>
      </w:pPr>
      <w:r>
        <w:rPr>
          <w:rFonts w:ascii="Arial" w:cs="Arial" w:eastAsia="Arial" w:hAnsi="Arial"/>
          <w:b/>
          <w:bCs/>
          <w:color w:val="1A2E4A"/>
          <w:sz w:val="18"/>
          <w:szCs w:val="18"/>
        </w:rPr>
        <w:t xml:space="preserve">Termine penale:  </w:t>
      </w:r>
      <w:r>
        <w:rPr>
          <w:rFonts w:ascii="Arial" w:cs="Arial" w:eastAsia="Arial" w:hAnsi="Arial"/>
          <w:color w:val="4A5568"/>
          <w:sz w:val="18"/>
          <w:szCs w:val="18"/>
        </w:rPr>
        <w:t xml:space="preserve">Verifica del termine trimestrale per la querela ex art. 124 c.p. dalla conoscenza del fatto</w:t>
      </w:r>
    </w:p>
    <w:p>
      <w:pPr>
        <w:pStyle w:val="ListParagraph"/>
        <w:numPr>
          <w:ilvl w:val="0"/>
          <w:numId w:val="2"/>
        </w:numPr>
        <w:spacing w:after="40" w:before="40"/>
      </w:pPr>
      <w:r>
        <w:rPr>
          <w:rFonts w:ascii="Arial" w:cs="Arial" w:eastAsia="Arial" w:hAnsi="Arial"/>
          <w:b/>
          <w:bCs/>
          <w:color w:val="1A2E4A"/>
          <w:sz w:val="18"/>
          <w:szCs w:val="18"/>
        </w:rPr>
        <w:t xml:space="preserve">Termine cautelare:  </w:t>
      </w:r>
      <w:r>
        <w:rPr>
          <w:rFonts w:ascii="Arial" w:cs="Arial" w:eastAsia="Arial" w:hAnsi="Arial"/>
          <w:color w:val="4A5568"/>
          <w:sz w:val="18"/>
          <w:szCs w:val="18"/>
        </w:rPr>
        <w:t xml:space="preserve">Valutare l’urgenza: la rimozione del contenuto non estingue le pretese risarcitorie</w:t>
      </w:r>
    </w:p>
    <w:p>
      <w:pPr>
        <w:pStyle w:val="ListParagraph"/>
        <w:numPr>
          <w:ilvl w:val="0"/>
          <w:numId w:val="2"/>
        </w:numPr>
        <w:spacing w:after="40" w:before="40"/>
      </w:pPr>
      <w:r>
        <w:rPr>
          <w:rFonts w:ascii="Arial" w:cs="Arial" w:eastAsia="Arial" w:hAnsi="Arial"/>
          <w:b/>
          <w:bCs/>
          <w:color w:val="1A2E4A"/>
          <w:sz w:val="18"/>
          <w:szCs w:val="18"/>
        </w:rPr>
        <w:t xml:space="preserve">Documentazione del danno:  </w:t>
      </w:r>
      <w:r>
        <w:rPr>
          <w:rFonts w:ascii="Arial" w:cs="Arial" w:eastAsia="Arial" w:hAnsi="Arial"/>
          <w:color w:val="4A5568"/>
          <w:sz w:val="18"/>
          <w:szCs w:val="18"/>
        </w:rPr>
        <w:t xml:space="preserve">Diari, testimonianze, comunicazioni attestanti l’impatto emotivo e relazionale</w:t>
      </w:r>
    </w:p>
    <w:p>
      <w:pPr>
        <w:pStyle w:val="ListParagraph"/>
        <w:numPr>
          <w:ilvl w:val="0"/>
          <w:numId w:val="2"/>
        </w:numPr>
        <w:spacing w:after="40" w:before="40"/>
      </w:pPr>
      <w:r>
        <w:rPr>
          <w:rFonts w:ascii="Arial" w:cs="Arial" w:eastAsia="Arial" w:hAnsi="Arial"/>
          <w:b/>
          <w:bCs/>
          <w:color w:val="1A2E4A"/>
          <w:sz w:val="18"/>
          <w:szCs w:val="18"/>
        </w:rPr>
        <w:t xml:space="preserve">Quantificazione preliminare:  </w:t>
      </w:r>
      <w:r>
        <w:rPr>
          <w:rFonts w:ascii="Arial" w:cs="Arial" w:eastAsia="Arial" w:hAnsi="Arial"/>
          <w:color w:val="4A5568"/>
          <w:sz w:val="18"/>
          <w:szCs w:val="18"/>
        </w:rPr>
        <w:t xml:space="preserve">Valore pubblicitario equivalente del contenuto non autorizzato (prezzo del consenso)</w:t>
      </w:r>
    </w:p>
    <w:p>
      <w:pPr>
        <w:spacing w:after="0" w:before="200"/>
      </w:pPr>
    </w:p>
    <w:p>
      <w:pPr>
        <w:pBdr>
          <w:bottom w:val="single" w:color="D0D8E0" w:sz="8"/>
        </w:pBdr>
        <w:spacing w:after="0"/>
      </w:pPr>
    </w:p>
    <w:p>
      <w:pPr>
        <w:spacing w:after="0" w:before="80"/>
      </w:pPr>
    </w:p>
    <w:p>
      <w:pPr>
        <w:spacing w:after="0" w:before="0"/>
      </w:pPr>
      <w:r>
        <w:rPr>
          <w:rFonts w:ascii="Arial" w:cs="Arial" w:eastAsia="Arial" w:hAnsi="Arial"/>
          <w:i/>
          <w:iCs/>
          <w:color w:val="4A5568"/>
          <w:sz w:val="14"/>
          <w:szCs w:val="14"/>
        </w:rPr>
        <w:t xml:space="preserve">NOTA: Il presente schema è un documento di lavoro riservato ad uso interno dello Studio Legale Lizzani. Non costituisce parere legale e non è destinato alla divulgazione esterna. Ogni caso concreto richiede valutazione individuale alla luce delle circostanze specifiche. © Studio Legale Lizzani — Avv. Francesco Lizzani, Verona.</w:t>
      </w:r>
    </w:p>
    <w:sectPr>
      <w:headerReference w:type="default" r:id="rId7"/>
      <w:footerReference w:type="default" r:id="rId8"/>
      <w:pgSz w:w="11906" w:h="16838" w:orient="portrait"/>
      <w:pgMar w:top="1200" w:right="1100" w:bottom="1200" w:left="110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D0D8E0" w:sz="4"/>
      </w:pBdr>
      <w:spacing w:after="0" w:before="60"/>
      <w:jc w:val="center"/>
    </w:pPr>
    <w:r>
      <w:rPr>
        <w:rFonts w:ascii="Arial" w:cs="Arial" w:eastAsia="Arial" w:hAnsi="Arial"/>
        <w:color w:val="4A5568"/>
        <w:sz w:val="14"/>
        <w:szCs w:val="14"/>
      </w:rPr>
      <w:t xml:space="preserve">Uso riservato — Studio Legale Lizzani  ·  Pag. </w:t>
    </w:r>
    <w:r>
      <w:rPr>
        <w:rFonts w:ascii="Arial" w:cs="Arial" w:eastAsia="Arial" w:hAnsi="Arial"/>
        <w:color w:val="4A5568"/>
        <w:sz w:val="14"/>
        <w:szCs w:val="14"/>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006B6B" w:sz="4"/>
      </w:pBdr>
      <w:spacing w:after="80" w:before="0"/>
      <w:jc w:val="right"/>
    </w:pPr>
    <w:r>
      <w:rPr>
        <w:rFonts w:ascii="Arial" w:cs="Arial" w:eastAsia="Arial" w:hAnsi="Arial"/>
        <w:color w:val="4A5568"/>
        <w:sz w:val="14"/>
        <w:szCs w:val="14"/>
      </w:rPr>
      <w:t xml:space="preserve">Studio Legale Lizzani  —  Template: Tutela della Persona &amp; Privacy Litigation</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480" w:hanging="2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0"/>
        <w:szCs w:val="20"/>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20" w:before="360"/>
      <w:outlineLvl w:val="0"/>
    </w:pPr>
    <w:rPr>
      <w:rFonts w:ascii="Arial" w:cs="Arial" w:eastAsia="Arial" w:hAnsi="Arial"/>
      <w:b/>
      <w:bCs/>
      <w:color w:val="1A2E4A"/>
      <w:sz w:val="32"/>
      <w:szCs w:val="32"/>
    </w:rPr>
  </w:style>
  <w:style w:type="paragraph" w:styleId="Heading2">
    <w:name w:val="Heading 2"/>
    <w:basedOn w:val="Normal"/>
    <w:next w:val="Normal"/>
    <w:qFormat/>
    <w:pPr>
      <w:spacing w:after="80" w:before="240"/>
      <w:outlineLvl w:val="1"/>
    </w:pPr>
    <w:rPr>
      <w:rFonts w:ascii="Arial" w:cs="Arial" w:eastAsia="Arial" w:hAnsi="Arial"/>
      <w:b/>
      <w:bCs/>
      <w:color w:val="006B6B"/>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2026-04-23T17:07:59.917Z</dcterms:created>
  <dcterms:modified xsi:type="dcterms:W3CDTF">2026-04-23T17:07:59.917Z</dcterms:modified>
</cp:coreProperties>
</file>

<file path=docProps/custom.xml><?xml version="1.0" encoding="utf-8"?>
<Properties xmlns="http://schemas.openxmlformats.org/officeDocument/2006/custom-properties" xmlns:vt="http://schemas.openxmlformats.org/officeDocument/2006/docPropsVTypes"/>
</file>